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73443463"/>
        <w:docPartObj>
          <w:docPartGallery w:val="Cover Pages"/>
          <w:docPartUnique/>
        </w:docPartObj>
      </w:sdtPr>
      <w:sdtContent>
        <w:p w:rsidR="003B2D4B" w:rsidRDefault="003B2D4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EDFD2F6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2D4B" w:rsidRDefault="003B2D4B" w:rsidP="008C6D1C">
                                <w:pPr>
                                  <w:pStyle w:val="a4"/>
                                  <w:ind w:right="360"/>
                                  <w:rPr>
                                    <w:rFonts w:hint="eastAsia"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3B2D4B" w:rsidRDefault="003B2D4B" w:rsidP="008C6D1C">
                          <w:pPr>
                            <w:pStyle w:val="a4"/>
                            <w:ind w:right="360"/>
                            <w:rPr>
                              <w:rFonts w:hint="eastAsi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2D4B" w:rsidRDefault="003B2D4B" w:rsidP="003B2D4B">
                                <w:pPr>
                                  <w:pStyle w:val="a4"/>
                                  <w:ind w:right="140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C6D1C" w:rsidRPr="008C6D1C" w:rsidRDefault="008C6D1C" w:rsidP="008C6D1C">
                                <w:pPr>
                                  <w:widowControl/>
                                  <w:shd w:val="clear" w:color="auto" w:fill="FFFFFF"/>
                                  <w:textAlignment w:val="baseline"/>
                                  <w:outlineLvl w:val="0"/>
                                  <w:rPr>
                                    <w:rFonts w:ascii="Georgia" w:eastAsia="新細明體" w:hAnsi="Georgia" w:cs="新細明體"/>
                                    <w:b/>
                                    <w:bCs/>
                                    <w:color w:val="202122"/>
                                    <w:kern w:val="36"/>
                                    <w:sz w:val="41"/>
                                    <w:szCs w:val="41"/>
                                  </w:rPr>
                                </w:pPr>
                                <w:r w:rsidRPr="008C6D1C">
                                  <w:rPr>
                                    <w:rFonts w:ascii="Georgia" w:eastAsia="新細明體" w:hAnsi="Georgia" w:cs="新細明體"/>
                                    <w:b/>
                                    <w:bCs/>
                                    <w:color w:val="202122"/>
                                    <w:kern w:val="36"/>
                                    <w:sz w:val="41"/>
                                    <w:szCs w:val="41"/>
                                  </w:rPr>
                                  <w:t>喜馬拉雅小貓熊</w:t>
                                </w:r>
                              </w:p>
                              <w:p w:rsidR="003B2D4B" w:rsidRDefault="003B2D4B" w:rsidP="008C6D1C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3B2D4B" w:rsidRDefault="003B2D4B" w:rsidP="003B2D4B">
                          <w:pPr>
                            <w:pStyle w:val="a4"/>
                            <w:ind w:right="140"/>
                            <w:jc w:val="right"/>
                            <w:rPr>
                              <w:rFonts w:hint="eastAsia"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8C6D1C" w:rsidRPr="008C6D1C" w:rsidRDefault="008C6D1C" w:rsidP="008C6D1C">
                          <w:pPr>
                            <w:widowControl/>
                            <w:shd w:val="clear" w:color="auto" w:fill="FFFFFF"/>
                            <w:textAlignment w:val="baseline"/>
                            <w:outlineLvl w:val="0"/>
                            <w:rPr>
                              <w:rFonts w:ascii="Georgia" w:eastAsia="新細明體" w:hAnsi="Georgia" w:cs="新細明體"/>
                              <w:b/>
                              <w:bCs/>
                              <w:color w:val="202122"/>
                              <w:kern w:val="36"/>
                              <w:sz w:val="41"/>
                              <w:szCs w:val="41"/>
                            </w:rPr>
                          </w:pPr>
                          <w:r w:rsidRPr="008C6D1C">
                            <w:rPr>
                              <w:rFonts w:ascii="Georgia" w:eastAsia="新細明體" w:hAnsi="Georgia" w:cs="新細明體"/>
                              <w:b/>
                              <w:bCs/>
                              <w:color w:val="202122"/>
                              <w:kern w:val="36"/>
                              <w:sz w:val="41"/>
                              <w:szCs w:val="41"/>
                            </w:rPr>
                            <w:t>喜馬拉雅小貓熊</w:t>
                          </w:r>
                        </w:p>
                        <w:p w:rsidR="003B2D4B" w:rsidRDefault="003B2D4B" w:rsidP="008C6D1C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2D4B" w:rsidRDefault="003B2D4B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3B2D4B" w:rsidRDefault="003B2D4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3B2D4B" w:rsidRDefault="003B2D4B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3B2D4B" w:rsidRDefault="003B2D4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3B2D4B" w:rsidRDefault="003B2D4B">
          <w:pPr>
            <w:widowControl/>
          </w:pPr>
          <w:r>
            <w:br w:type="page"/>
          </w:r>
        </w:p>
      </w:sdtContent>
    </w:sdt>
    <w:p w:rsidR="000D6938" w:rsidRDefault="008C6D1C" w:rsidP="000D6938">
      <w:bookmarkStart w:id="0" w:name="_GoBack"/>
      <w:r w:rsidRPr="000D693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285115</wp:posOffset>
            </wp:positionH>
            <wp:positionV relativeFrom="paragraph">
              <wp:posOffset>0</wp:posOffset>
            </wp:positionV>
            <wp:extent cx="5466715" cy="3924300"/>
            <wp:effectExtent l="0" t="0" r="635" b="0"/>
            <wp:wrapTight wrapText="bothSides">
              <wp:wrapPolygon edited="0">
                <wp:start x="0" y="0"/>
                <wp:lineTo x="0" y="21495"/>
                <wp:lineTo x="21527" y="21495"/>
                <wp:lineTo x="21527" y="0"/>
                <wp:lineTo x="0" y="0"/>
              </wp:wrapPolygon>
            </wp:wrapTight>
            <wp:docPr id="1" name="圖片 1" descr="大貓熊醉水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貓熊醉水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6671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>
        <w:rPr>
          <w:rFonts w:hint="eastAsia"/>
          <w:sz w:val="36"/>
          <w:szCs w:val="36"/>
        </w:rPr>
        <w:t>一</w:t>
      </w:r>
      <w:proofErr w:type="gramEnd"/>
      <w:r>
        <w:rPr>
          <w:rFonts w:hint="eastAsia"/>
          <w:sz w:val="36"/>
          <w:szCs w:val="36"/>
        </w:rPr>
        <w:t>.</w:t>
      </w:r>
      <w:r w:rsidR="000D6938">
        <w:rPr>
          <w:rFonts w:hint="eastAsia"/>
        </w:rPr>
        <w:t>目前僅存於中國四川、甘肅和陜西省境內海拔</w:t>
      </w:r>
      <w:r w:rsidR="000D6938">
        <w:rPr>
          <w:rFonts w:hint="eastAsia"/>
        </w:rPr>
        <w:t>1,400-3,500</w:t>
      </w:r>
      <w:r w:rsidR="000D6938">
        <w:rPr>
          <w:rFonts w:hint="eastAsia"/>
        </w:rPr>
        <w:t>公尺的高地裡，會因季節的變化而改變其居住的海拔高度。</w:t>
      </w:r>
    </w:p>
    <w:p w:rsidR="00F77135" w:rsidRDefault="000D6938" w:rsidP="000D6938">
      <w:r>
        <w:rPr>
          <w:rFonts w:hint="eastAsia"/>
        </w:rPr>
        <w:t>自然</w:t>
      </w:r>
      <w:proofErr w:type="gramStart"/>
      <w:r>
        <w:rPr>
          <w:rFonts w:hint="eastAsia"/>
        </w:rPr>
        <w:t>棲地年平均</w:t>
      </w:r>
      <w:proofErr w:type="gramEnd"/>
      <w:r>
        <w:rPr>
          <w:rFonts w:hint="eastAsia"/>
        </w:rPr>
        <w:t>氣溫</w:t>
      </w:r>
      <w:r>
        <w:rPr>
          <w:rFonts w:hint="eastAsia"/>
        </w:rPr>
        <w:t>6 -17</w:t>
      </w:r>
      <w:r>
        <w:rPr>
          <w:rFonts w:hint="eastAsia"/>
        </w:rPr>
        <w:t>℃，年降雨量</w:t>
      </w:r>
      <w:r>
        <w:rPr>
          <w:rFonts w:hint="eastAsia"/>
        </w:rPr>
        <w:t>1,000</w:t>
      </w:r>
      <w:r>
        <w:rPr>
          <w:rFonts w:hint="eastAsia"/>
        </w:rPr>
        <w:t>毫米以上，夏季</w:t>
      </w:r>
      <w:proofErr w:type="gramStart"/>
      <w:r>
        <w:rPr>
          <w:rFonts w:hint="eastAsia"/>
        </w:rPr>
        <w:t>溫潤多雨</w:t>
      </w:r>
      <w:proofErr w:type="gramEnd"/>
      <w:r>
        <w:rPr>
          <w:rFonts w:hint="eastAsia"/>
        </w:rPr>
        <w:t>，冬季潮濕而寒冷，積雪期長達</w:t>
      </w:r>
      <w:r>
        <w:rPr>
          <w:rFonts w:hint="eastAsia"/>
        </w:rPr>
        <w:t>4-5</w:t>
      </w:r>
      <w:r>
        <w:rPr>
          <w:rFonts w:hint="eastAsia"/>
        </w:rPr>
        <w:t>個月。植物繁茂，樹種多為冷杉、雲杉、油杉和樺樹，林</w:t>
      </w:r>
      <w:proofErr w:type="gramStart"/>
      <w:r>
        <w:rPr>
          <w:rFonts w:hint="eastAsia"/>
        </w:rPr>
        <w:t>間則密</w:t>
      </w:r>
      <w:proofErr w:type="gramEnd"/>
      <w:r>
        <w:rPr>
          <w:rFonts w:hint="eastAsia"/>
        </w:rPr>
        <w:t>生著野杜鵑和大量竹類。</w:t>
      </w:r>
    </w:p>
    <w:p w:rsidR="000D6938" w:rsidRDefault="000D6938" w:rsidP="000D6938">
      <w:r w:rsidRPr="000D6938">
        <w:rPr>
          <w:rFonts w:hint="eastAsia"/>
        </w:rPr>
        <w:t>在野外的天敵，主要是豺、豹、</w:t>
      </w:r>
      <w:proofErr w:type="gramStart"/>
      <w:r w:rsidRPr="000D6938">
        <w:rPr>
          <w:rFonts w:hint="eastAsia"/>
        </w:rPr>
        <w:t>黃喉貂、金貓、花豹</w:t>
      </w:r>
      <w:proofErr w:type="gramEnd"/>
      <w:r w:rsidRPr="000D6938">
        <w:rPr>
          <w:rFonts w:hint="eastAsia"/>
        </w:rPr>
        <w:t>、狼等肉食性動物。其狩獵對象是年少或病弱老年的個體，但</w:t>
      </w:r>
      <w:proofErr w:type="gramStart"/>
      <w:r w:rsidRPr="000D6938">
        <w:rPr>
          <w:rFonts w:hint="eastAsia"/>
        </w:rPr>
        <w:t>金貓則</w:t>
      </w:r>
      <w:proofErr w:type="gramEnd"/>
      <w:r w:rsidRPr="000D6938">
        <w:rPr>
          <w:rFonts w:hint="eastAsia"/>
        </w:rPr>
        <w:t>較常襲擊大貓熊</w:t>
      </w:r>
      <w:proofErr w:type="gramStart"/>
      <w:r w:rsidRPr="000D6938">
        <w:rPr>
          <w:rFonts w:hint="eastAsia"/>
        </w:rPr>
        <w:t>的幼獸</w:t>
      </w:r>
      <w:proofErr w:type="gramEnd"/>
      <w:r w:rsidRPr="000D6938">
        <w:rPr>
          <w:rFonts w:hint="eastAsia"/>
        </w:rPr>
        <w:t>。</w:t>
      </w:r>
    </w:p>
    <w:p w:rsidR="000D6938" w:rsidRDefault="000D6938" w:rsidP="000D6938"/>
    <w:p w:rsidR="000D6938" w:rsidRDefault="000D6938" w:rsidP="000D6938">
      <w:r>
        <w:rPr>
          <w:rFonts w:hint="eastAsia"/>
        </w:rPr>
        <w:t>於箭竹會週期性大規模開花枯死，多年後才能恢復舊觀為大貓熊提供食物。因此，竹子開花後一段</w:t>
      </w:r>
      <w:proofErr w:type="gramStart"/>
      <w:r>
        <w:rPr>
          <w:rFonts w:hint="eastAsia"/>
        </w:rPr>
        <w:t>期間裡</w:t>
      </w:r>
      <w:proofErr w:type="gramEnd"/>
      <w:r>
        <w:rPr>
          <w:rFonts w:hint="eastAsia"/>
        </w:rPr>
        <w:t>，常有大貓熊餓死的情形。</w:t>
      </w:r>
    </w:p>
    <w:p w:rsidR="000D6938" w:rsidRDefault="000D6938" w:rsidP="000D6938"/>
    <w:p w:rsidR="000D6938" w:rsidRDefault="000D6938" w:rsidP="000D6938">
      <w:r>
        <w:rPr>
          <w:rFonts w:hint="eastAsia"/>
        </w:rPr>
        <w:t>在棲息地破碎化日漸</w:t>
      </w:r>
      <w:proofErr w:type="gramStart"/>
      <w:r>
        <w:rPr>
          <w:rFonts w:hint="eastAsia"/>
        </w:rPr>
        <w:t>遽</w:t>
      </w:r>
      <w:proofErr w:type="gramEnd"/>
      <w:r>
        <w:rPr>
          <w:rFonts w:hint="eastAsia"/>
        </w:rPr>
        <w:t>增情況下，使得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們無法遷徙至其他有竹子的地方，加</w:t>
      </w:r>
      <w:proofErr w:type="gramStart"/>
      <w:r>
        <w:rPr>
          <w:rFonts w:hint="eastAsia"/>
        </w:rPr>
        <w:t>遽</w:t>
      </w:r>
      <w:proofErr w:type="gramEnd"/>
      <w:r>
        <w:rPr>
          <w:rFonts w:hint="eastAsia"/>
        </w:rPr>
        <w:t>林地自然演替的危害。大貓熊是獨居性動物，除了交配季節或雌性的育幼時期，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們都是獨自居住。</w:t>
      </w:r>
    </w:p>
    <w:p w:rsidR="000D6938" w:rsidRDefault="000D6938" w:rsidP="000D6938"/>
    <w:p w:rsidR="000D6938" w:rsidRDefault="000D6938" w:rsidP="000D6938">
      <w:r>
        <w:rPr>
          <w:rFonts w:hint="eastAsia"/>
        </w:rPr>
        <w:t>在晨昏時段最為</w:t>
      </w:r>
      <w:proofErr w:type="gramStart"/>
      <w:r>
        <w:rPr>
          <w:rFonts w:hint="eastAsia"/>
        </w:rPr>
        <w:t>活躍，</w:t>
      </w:r>
      <w:proofErr w:type="gramEnd"/>
      <w:r>
        <w:rPr>
          <w:rFonts w:hint="eastAsia"/>
        </w:rPr>
        <w:t>但竹子所含熱量低，為減少能量的消耗，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們每天的睡眠時間約</w:t>
      </w:r>
      <w:r>
        <w:rPr>
          <w:rFonts w:hint="eastAsia"/>
        </w:rPr>
        <w:t>10</w:t>
      </w:r>
      <w:r>
        <w:rPr>
          <w:rFonts w:hint="eastAsia"/>
        </w:rPr>
        <w:t>小時，剩餘的時間則大多在覓食和進食。</w:t>
      </w:r>
    </w:p>
    <w:p w:rsidR="000D6938" w:rsidRDefault="000D6938" w:rsidP="000D6938"/>
    <w:p w:rsidR="000D6938" w:rsidRDefault="000D6938" w:rsidP="000D6938">
      <w:r>
        <w:rPr>
          <w:rFonts w:hint="eastAsia"/>
        </w:rPr>
        <w:t>聽覺良好，有時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食會因週遭聲音突然定格，並微微轉動耳朵聆聽聲音來源與分辨可能的危險。</w:t>
      </w:r>
    </w:p>
    <w:p w:rsidR="000D6938" w:rsidRDefault="000D6938" w:rsidP="000D6938"/>
    <w:p w:rsidR="000D6938" w:rsidRDefault="000D6938" w:rsidP="000D6938">
      <w:r>
        <w:rPr>
          <w:rFonts w:hint="eastAsia"/>
        </w:rPr>
        <w:t>性情溫和，很少主動攻擊，平日多單獨行動，喜歡隱蔽，活動範圍通常在</w:t>
      </w:r>
      <w:r>
        <w:rPr>
          <w:rFonts w:hint="eastAsia"/>
        </w:rPr>
        <w:t>10-30</w:t>
      </w:r>
      <w:r>
        <w:rPr>
          <w:rFonts w:hint="eastAsia"/>
        </w:rPr>
        <w:t>公頃之內。會用體味、尿液和爪痕標記活動範圍。年個體</w:t>
      </w:r>
      <w:r>
        <w:rPr>
          <w:rFonts w:hint="eastAsia"/>
        </w:rPr>
        <w:t>1</w:t>
      </w:r>
      <w:r>
        <w:rPr>
          <w:rFonts w:hint="eastAsia"/>
        </w:rPr>
        <w:t>天大約要吃</w:t>
      </w:r>
      <w:r>
        <w:rPr>
          <w:rFonts w:hint="eastAsia"/>
        </w:rPr>
        <w:t>13-20</w:t>
      </w:r>
      <w:r>
        <w:rPr>
          <w:rFonts w:hint="eastAsia"/>
        </w:rPr>
        <w:t>公斤的竹子，因為竹子有強韌的植物纖維不易消化，吃下去的竹子有四分之三是未經消化即排泄出來，因此必須不斷進食以維持所需的養分。</w:t>
      </w:r>
    </w:p>
    <w:p w:rsidR="000D6938" w:rsidRDefault="000D6938" w:rsidP="000D6938"/>
    <w:p w:rsidR="0053792B" w:rsidRDefault="000D6938" w:rsidP="000D6938">
      <w:proofErr w:type="gramStart"/>
      <w:r>
        <w:rPr>
          <w:rFonts w:hint="eastAsia"/>
        </w:rPr>
        <w:t>胃部不具</w:t>
      </w:r>
      <w:proofErr w:type="gramEnd"/>
      <w:r>
        <w:rPr>
          <w:rFonts w:hint="eastAsia"/>
        </w:rPr>
        <w:t>反芻功能，亦無分解纖維的微生物，且無發達的盲腸，但因腸道中有些許的纖毛蟲，所以能夠有別於</w:t>
      </w:r>
      <w:proofErr w:type="gramStart"/>
      <w:r>
        <w:rPr>
          <w:rFonts w:hint="eastAsia"/>
        </w:rPr>
        <w:t>其他熊科動物</w:t>
      </w:r>
      <w:proofErr w:type="gramEnd"/>
      <w:r>
        <w:rPr>
          <w:rFonts w:hint="eastAsia"/>
        </w:rPr>
        <w:t>消化纖維</w:t>
      </w:r>
      <w:hyperlink r:id="rId8" w:history="1">
        <w:r w:rsidR="0053792B" w:rsidRPr="00AF45D2">
          <w:rPr>
            <w:rStyle w:val="a3"/>
          </w:rPr>
          <w:t>https://www.zoo.gov.tw/Giantpanda/product2.html</w:t>
        </w:r>
      </w:hyperlink>
    </w:p>
    <w:p w:rsidR="000D6938" w:rsidRDefault="0053792B" w:rsidP="000D6938">
      <w:r w:rsidRPr="0053792B">
        <w:t>https://zh.m.wikipedia.org/zh-tw/%E5%B0%8F%E7%86%8A%E7%8C%AB%E5%B1%9E</w:t>
      </w:r>
      <w:r w:rsidR="000D6938" w:rsidRPr="000D6938">
        <w:rPr>
          <w:rFonts w:hint="eastAsia"/>
          <w:noProof/>
        </w:rPr>
        <w:drawing>
          <wp:inline distT="0" distB="0" distL="0" distR="0">
            <wp:extent cx="2619375" cy="1743075"/>
            <wp:effectExtent l="0" t="0" r="9525" b="9525"/>
            <wp:docPr id="3" name="圖片 3" descr="C:\Users\user\AppData\Local\Microsoft\Windows\INetCache\Content.MSO\DC54B3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DC54B33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938">
        <w:rPr>
          <w:rFonts w:hint="eastAsia"/>
        </w:rPr>
        <w:t>。</w:t>
      </w:r>
      <w:r w:rsidR="000D6938" w:rsidRPr="000D6938">
        <w:rPr>
          <w:noProof/>
        </w:rPr>
        <w:drawing>
          <wp:inline distT="0" distB="0" distL="0" distR="0">
            <wp:extent cx="1028700" cy="739081"/>
            <wp:effectExtent l="0" t="0" r="0" b="4445"/>
            <wp:docPr id="2" name="圖片 2" descr="大貓熊樹洞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貓熊樹洞圖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35" cy="74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938" w:rsidSect="003B2D4B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38"/>
    <w:rsid w:val="000D6938"/>
    <w:rsid w:val="003B2D4B"/>
    <w:rsid w:val="0053792B"/>
    <w:rsid w:val="008C6D1C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D0C6"/>
  <w15:chartTrackingRefBased/>
  <w15:docId w15:val="{42DA740B-2701-4557-B5EE-0D016B1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C6D1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92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3B2D4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B2D4B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8C6D1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.gov.tw/Giantpanda/product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E99E-E08D-440D-A518-C5461335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2022-06-13T02:59:00Z</dcterms:created>
  <dcterms:modified xsi:type="dcterms:W3CDTF">2022-06-27T03:05:00Z</dcterms:modified>
</cp:coreProperties>
</file>