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50892486"/>
        <w:docPartObj>
          <w:docPartGallery w:val="Cover Pages"/>
          <w:docPartUnique/>
        </w:docPartObj>
      </w:sdtPr>
      <w:sdtEndPr>
        <w:rPr>
          <w:sz w:val="40"/>
          <w:szCs w:val="40"/>
        </w:rPr>
      </w:sdtEndPr>
      <w:sdtContent>
        <w:p w:rsidR="00DB30F9" w:rsidRDefault="00DB30F9">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DB30F9" w:rsidRDefault="00DB30F9">
                                    <w:pPr>
                                      <w:pStyle w:val="a3"/>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displacedByCustomXml="next"/>
                                <w:sdt>
                                  <w:sdtPr>
                                    <w:rPr>
                                      <w:rFonts w:asciiTheme="majorHAnsi" w:eastAsiaTheme="majorEastAsia" w:hAnsiTheme="majorHAnsi" w:cstheme="majorBidi"/>
                                      <w:caps/>
                                      <w:color w:val="FFFFFF" w:themeColor="background1"/>
                                      <w:sz w:val="64"/>
                                      <w:szCs w:val="64"/>
                                      <w14:textFill>
                                        <w14:gradFill>
                                          <w14:gsLst>
                                            <w14:gs w14:pos="21101">
                                              <w14:srgbClr w14:val="00B0F0"/>
                                            </w14:gs>
                                            <w14:gs w14:pos="50000">
                                              <w14:srgbClr w14:val="FF0000"/>
                                            </w14:gs>
                                            <w14:gs w14:pos="100000">
                                              <w14:srgbClr w14:val="FFFF00"/>
                                            </w14:gs>
                                          </w14:gsLst>
                                          <w14:lin w14:ang="13500000" w14:scaled="0"/>
                                        </w14:gradFill>
                                      </w14:textFill>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DB30F9" w:rsidRDefault="00DB30F9">
                                      <w:pPr>
                                        <w:pStyle w:val="a3"/>
                                        <w:rPr>
                                          <w:rFonts w:asciiTheme="majorHAnsi" w:eastAsiaTheme="majorEastAsia" w:hAnsiTheme="majorHAnsi" w:cstheme="majorBidi"/>
                                          <w:caps/>
                                          <w:color w:val="FFFFFF" w:themeColor="background1"/>
                                          <w:sz w:val="64"/>
                                          <w:szCs w:val="64"/>
                                        </w:rPr>
                                      </w:pPr>
                                      <w:r w:rsidRPr="002A543E">
                                        <w:rPr>
                                          <w:rFonts w:asciiTheme="majorHAnsi" w:eastAsiaTheme="majorEastAsia" w:hAnsiTheme="majorHAnsi" w:cstheme="majorBidi" w:hint="eastAsia"/>
                                          <w:caps/>
                                          <w:color w:val="FFFFFF" w:themeColor="background1"/>
                                          <w:sz w:val="64"/>
                                          <w:szCs w:val="64"/>
                                          <w14:textFill>
                                            <w14:gradFill>
                                              <w14:gsLst>
                                                <w14:gs w14:pos="21101">
                                                  <w14:srgbClr w14:val="00B0F0"/>
                                                </w14:gs>
                                                <w14:gs w14:pos="50000">
                                                  <w14:srgbClr w14:val="FF0000"/>
                                                </w14:gs>
                                                <w14:gs w14:pos="100000">
                                                  <w14:srgbClr w14:val="FFFF00"/>
                                                </w14:gs>
                                              </w14:gsLst>
                                              <w14:lin w14:ang="13500000" w14:scaled="0"/>
                                            </w14:gradFill>
                                          </w14:textFill>
                                        </w:rPr>
                                        <w:t>法國鬥牛犬</w:t>
                                      </w:r>
                                    </w:p>
                                  </w:sdtContent>
                                </w:sdt>
                                <w:bookmarkEnd w:id="0" w:displacedByCustomXml="prev"/>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DB30F9" w:rsidRDefault="00DB30F9">
                                      <w:pPr>
                                        <w:pStyle w:val="a3"/>
                                        <w:spacing w:before="120"/>
                                        <w:rPr>
                                          <w:color w:val="5B9BD5" w:themeColor="accent1"/>
                                          <w:sz w:val="36"/>
                                          <w:szCs w:val="36"/>
                                        </w:rPr>
                                      </w:pPr>
                                      <w:r>
                                        <w:rPr>
                                          <w:color w:val="5B9BD5" w:themeColor="accent1"/>
                                          <w:sz w:val="36"/>
                                          <w:szCs w:val="36"/>
                                        </w:rPr>
                                        <w:t xml:space="preserve">     </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DB30F9" w:rsidRDefault="00DB30F9">
                              <w:pPr>
                                <w:pStyle w:val="a3"/>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bookmarkStart w:id="1" w:name="_GoBack" w:displacedByCustomXml="next"/>
                          <w:sdt>
                            <w:sdtPr>
                              <w:rPr>
                                <w:rFonts w:asciiTheme="majorHAnsi" w:eastAsiaTheme="majorEastAsia" w:hAnsiTheme="majorHAnsi" w:cstheme="majorBidi"/>
                                <w:caps/>
                                <w:color w:val="FFFFFF" w:themeColor="background1"/>
                                <w:sz w:val="64"/>
                                <w:szCs w:val="64"/>
                                <w14:textFill>
                                  <w14:gradFill>
                                    <w14:gsLst>
                                      <w14:gs w14:pos="21101">
                                        <w14:srgbClr w14:val="00B0F0"/>
                                      </w14:gs>
                                      <w14:gs w14:pos="50000">
                                        <w14:srgbClr w14:val="FF0000"/>
                                      </w14:gs>
                                      <w14:gs w14:pos="100000">
                                        <w14:srgbClr w14:val="FFFF00"/>
                                      </w14:gs>
                                    </w14:gsLst>
                                    <w14:lin w14:ang="13500000" w14:scaled="0"/>
                                  </w14:gradFill>
                                </w14:textFill>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DB30F9" w:rsidRDefault="00DB30F9">
                                <w:pPr>
                                  <w:pStyle w:val="a3"/>
                                  <w:rPr>
                                    <w:rFonts w:asciiTheme="majorHAnsi" w:eastAsiaTheme="majorEastAsia" w:hAnsiTheme="majorHAnsi" w:cstheme="majorBidi"/>
                                    <w:caps/>
                                    <w:color w:val="FFFFFF" w:themeColor="background1"/>
                                    <w:sz w:val="64"/>
                                    <w:szCs w:val="64"/>
                                  </w:rPr>
                                </w:pPr>
                                <w:r w:rsidRPr="002A543E">
                                  <w:rPr>
                                    <w:rFonts w:asciiTheme="majorHAnsi" w:eastAsiaTheme="majorEastAsia" w:hAnsiTheme="majorHAnsi" w:cstheme="majorBidi" w:hint="eastAsia"/>
                                    <w:caps/>
                                    <w:color w:val="FFFFFF" w:themeColor="background1"/>
                                    <w:sz w:val="64"/>
                                    <w:szCs w:val="64"/>
                                    <w14:textFill>
                                      <w14:gradFill>
                                        <w14:gsLst>
                                          <w14:gs w14:pos="21101">
                                            <w14:srgbClr w14:val="00B0F0"/>
                                          </w14:gs>
                                          <w14:gs w14:pos="50000">
                                            <w14:srgbClr w14:val="FF0000"/>
                                          </w14:gs>
                                          <w14:gs w14:pos="100000">
                                            <w14:srgbClr w14:val="FFFF00"/>
                                          </w14:gs>
                                        </w14:gsLst>
                                        <w14:lin w14:ang="13500000" w14:scaled="0"/>
                                      </w14:gradFill>
                                    </w14:textFill>
                                  </w:rPr>
                                  <w:t>法國鬥牛犬</w:t>
                                </w:r>
                              </w:p>
                            </w:sdtContent>
                          </w:sdt>
                          <w:bookmarkEnd w:id="1" w:displacedByCustomXml="prev"/>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DB30F9" w:rsidRDefault="00DB30F9">
                                <w:pPr>
                                  <w:pStyle w:val="a3"/>
                                  <w:spacing w:before="120"/>
                                  <w:rPr>
                                    <w:color w:val="5B9BD5" w:themeColor="accent1"/>
                                    <w:sz w:val="36"/>
                                    <w:szCs w:val="36"/>
                                  </w:rPr>
                                </w:pPr>
                                <w:r>
                                  <w:rPr>
                                    <w:color w:val="5B9BD5" w:themeColor="accent1"/>
                                    <w:sz w:val="36"/>
                                    <w:szCs w:val="36"/>
                                  </w:rPr>
                                  <w:t xml:space="preserve">     </w:t>
                                </w:r>
                              </w:p>
                            </w:sdtContent>
                          </w:sdt>
                        </w:txbxContent>
                      </v:textbox>
                    </v:shape>
                    <w10:wrap anchorx="page" anchory="page"/>
                  </v:group>
                </w:pict>
              </mc:Fallback>
            </mc:AlternateContent>
          </w:r>
        </w:p>
        <w:p w:rsidR="00DB30F9" w:rsidRDefault="00DB30F9">
          <w:pPr>
            <w:widowControl/>
            <w:rPr>
              <w:sz w:val="40"/>
              <w:szCs w:val="40"/>
            </w:rPr>
          </w:pPr>
          <w:r>
            <w:rPr>
              <w:sz w:val="40"/>
              <w:szCs w:val="40"/>
            </w:rPr>
            <w:br w:type="page"/>
          </w:r>
        </w:p>
      </w:sdtContent>
    </w:sdt>
    <w:p w:rsidR="000A7E4A" w:rsidRPr="00DB30F9" w:rsidRDefault="000A7E4A">
      <w:pPr>
        <w:rPr>
          <w14:textFill>
            <w14:gradFill>
              <w14:gsLst>
                <w14:gs w14:pos="50000">
                  <w14:srgbClr w14:val="000000">
                    <w14:tint w14:val="44500"/>
                    <w14:satMod w14:val="160000"/>
                  </w14:srgbClr>
                </w14:gs>
                <w14:gs w14:pos="100000">
                  <w14:srgbClr w14:val="000000">
                    <w14:tint w14:val="23500"/>
                    <w14:satMod w14:val="160000"/>
                  </w14:srgbClr>
                </w14:gs>
              </w14:gsLst>
              <w14:lin w14:ang="13500000" w14:scaled="0"/>
            </w14:gradFill>
          </w14:textFill>
        </w:rPr>
      </w:pPr>
      <w:r w:rsidRPr="000A7E4A">
        <w:rPr>
          <w:noProof/>
        </w:rPr>
        <w:drawing>
          <wp:inline distT="0" distB="0" distL="0" distR="0">
            <wp:extent cx="1743075" cy="1743075"/>
            <wp:effectExtent l="0" t="0" r="9525" b="9525"/>
            <wp:docPr id="2" name="圖片 2" descr="法國鬥牛犬能活多久？5招延長壽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法國鬥牛犬能活多久？5招延長壽命！"/>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r w:rsidRPr="000A7E4A">
        <w:rPr>
          <w:noProof/>
        </w:rPr>
        <w:drawing>
          <wp:inline distT="0" distB="0" distL="0" distR="0">
            <wp:extent cx="1647499" cy="1748009"/>
            <wp:effectExtent l="0" t="0" r="0" b="5080"/>
            <wp:docPr id="1" name="圖片 1" descr="兩歲的法國鬥牛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兩歲的法國鬥牛犬"/>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4865" cy="2084737"/>
                    </a:xfrm>
                    <a:prstGeom prst="rect">
                      <a:avLst/>
                    </a:prstGeom>
                    <a:noFill/>
                    <a:ln>
                      <a:noFill/>
                    </a:ln>
                  </pic:spPr>
                </pic:pic>
              </a:graphicData>
            </a:graphic>
          </wp:inline>
        </w:drawing>
      </w:r>
    </w:p>
    <w:p w:rsidR="000A7E4A" w:rsidRPr="00DB30F9" w:rsidRDefault="000A7E4A" w:rsidP="000A7E4A">
      <w:pPr>
        <w:rPr>
          <w:sz w:val="40"/>
          <w:szCs w:val="40"/>
        </w:rPr>
      </w:pPr>
    </w:p>
    <w:p w:rsidR="000A7E4A" w:rsidRDefault="000A7E4A" w:rsidP="000A7E4A"/>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一項英國犬類品種調查報告顯示，法國鬥牛犬的平均壽命為</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8</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至</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10</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年，而英國品種的平均壽命為</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12</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至</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14</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年。</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[7]</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美國犬業俱樂部（</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AKC</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）的數據顯示，法國鬥牛犬品種的平均壽命為</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11</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至</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13</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年。</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[8]</w:t>
      </w: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獨特的體型和脆弱的呼吸系統使法國鬥牛犬無法有效地調節體表溫度。所以他們對溫度比較敏感，</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不耐冷熱</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。天氣變冷時，需要加上保暖衣物；夏天炎熱潮濕時，必須採取措施（如打開冷氣等），以預防中暑。</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[9]</w:t>
      </w: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髕骨（膝蓋骨）脫位也是法國鬥牛犬的常見症狀。可能的原因通常是受傷或先天性畸形。狗的髕骨是後腿上的一塊小骨頭，在運動時可以保護膝關節前部。這塊骨頭由韌帶固定，當膝關節移動時，髕骨在股骨的凹槽中滑動。</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膝蓋骨向腿的</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內側或外側移位，就會造成髕骨脫位。</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[10]</w:t>
      </w: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p>
    <w:p w:rsidR="000A7E4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0A7E4A" w:rsidP="000A7E4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資料來源</w:t>
      </w:r>
      <w:r w:rsidRPr="002A543E">
        <w:rPr>
          <w14:textFill>
            <w14:gradFill>
              <w14:gsLst>
                <w14:gs w14:pos="0">
                  <w14:srgbClr w14:val="FFFF00"/>
                </w14:gs>
                <w14:gs w14:pos="45000">
                  <w14:srgbClr w14:val="FF0000"/>
                </w14:gs>
                <w14:gs w14:pos="83000">
                  <w14:srgbClr w14:val="00B0F0"/>
                </w14:gs>
              </w14:gsLst>
              <w14:lin w14:ang="2700000" w14:scaled="0"/>
            </w14:gradFill>
          </w14:textFill>
        </w:rPr>
        <w:t>https://zh.m.wikipedia.org/zh-tw/%E6%B3%95%E5%9C%8B%E9%AC%A5%E7%89%9B%E7%8A%AC</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DB30F9" w:rsidP="004C2A5A">
      <w:pPr>
        <w:rPr>
          <w:sz w:val="40"/>
          <w:szCs w:val="40"/>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sz w:val="40"/>
          <w:szCs w:val="40"/>
          <w14:textFill>
            <w14:gradFill>
              <w14:gsLst>
                <w14:gs w14:pos="0">
                  <w14:srgbClr w14:val="FFFF00"/>
                </w14:gs>
                <w14:gs w14:pos="45000">
                  <w14:srgbClr w14:val="FF0000"/>
                </w14:gs>
                <w14:gs w14:pos="83000">
                  <w14:srgbClr w14:val="00B0F0"/>
                </w14:gs>
              </w14:gsLst>
              <w14:lin w14:ang="2700000" w14:scaled="0"/>
            </w14:gradFill>
          </w14:textFill>
        </w:rPr>
        <w:t>獨角仙</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學名：</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Allomyrina</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dichotomus</w:t>
      </w:r>
      <w:proofErr w:type="spellEnd"/>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，又稱為</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雙叉</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犀</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金龜</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[1][2][3]</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，是一種體型較大的金龜子</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科兜蟲亞</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科內的甲蟲，雄性成蟲的頭部長有一支兩邊對稱、雙分叉的巨型犄角，胸部則有一個分叉的</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小胸角</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。主要分佈在日本本州以南、臺灣、華中、華南及朝鮮半島等地，屬於常見物種。是最具代表性</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的兜蟲之一</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w:t>
      </w:r>
      <w:proofErr w:type="spellStart"/>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Infobox</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info icon2.</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svg</w:t>
      </w:r>
      <w:proofErr w:type="gramEnd"/>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14:textFill>
            <w14:gradFill>
              <w14:gsLst>
                <w14:gs w14:pos="0">
                  <w14:srgbClr w14:val="FFFF00"/>
                </w14:gs>
                <w14:gs w14:pos="45000">
                  <w14:srgbClr w14:val="FF0000"/>
                </w14:gs>
                <w14:gs w14:pos="83000">
                  <w14:srgbClr w14:val="00B0F0"/>
                </w14:gs>
              </w14:gsLst>
              <w14:lin w14:ang="2700000" w14:scaled="0"/>
            </w14:gradFill>
          </w14:textFill>
        </w:rPr>
        <w:t>Kabutomushi-JapaneseBeetle-July2004.jpg</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獨角仙成蟲</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，有角為雄性，</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無角為</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雌性</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科學分類編輯</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界：</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動物界</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Animalia</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門：</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節肢動物門</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Arthropoda</w:t>
      </w:r>
      <w:proofErr w:type="spell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綱：</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昆蟲綱</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Insecta</w:t>
      </w:r>
      <w:proofErr w:type="spell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目：</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鞘翅目</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Coleoptera</w:t>
      </w:r>
      <w:proofErr w:type="spell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科：</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金龜子科</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Scarabaeidae</w:t>
      </w:r>
      <w:proofErr w:type="spell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屬：</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叉</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犀</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金龜屬</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Trypoxylus</w:t>
      </w:r>
      <w:proofErr w:type="spell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種：</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A. </w:t>
      </w:r>
      <w:proofErr w:type="spellStart"/>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dichotoma</w:t>
      </w:r>
      <w:proofErr w:type="spellEnd"/>
      <w:proofErr w:type="gram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二名法</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Allomyrina</w:t>
      </w:r>
      <w:proofErr w:type="spellEnd"/>
      <w:r w:rsidRPr="002A543E">
        <w:rPr>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dichotoma</w:t>
      </w:r>
      <w:proofErr w:type="spellEnd"/>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14:textFill>
            <w14:gradFill>
              <w14:gsLst>
                <w14:gs w14:pos="0">
                  <w14:srgbClr w14:val="FFFF00"/>
                </w14:gs>
                <w14:gs w14:pos="45000">
                  <w14:srgbClr w14:val="FF0000"/>
                </w14:gs>
                <w14:gs w14:pos="83000">
                  <w14:srgbClr w14:val="00B0F0"/>
                </w14:gs>
              </w14:gsLst>
              <w14:lin w14:ang="2700000" w14:scaled="0"/>
            </w14:gradFill>
          </w14:textFill>
        </w:rPr>
        <w:t>Linnaeus, 1771</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異名</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Trypoxylus</w:t>
      </w:r>
      <w:proofErr w:type="spellEnd"/>
      <w:r w:rsidRPr="002A543E">
        <w:rPr>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dichotomus</w:t>
      </w:r>
      <w:proofErr w:type="spellEnd"/>
      <w:r w:rsidRPr="002A543E">
        <w:rPr>
          <w14:textFill>
            <w14:gradFill>
              <w14:gsLst>
                <w14:gs w14:pos="0">
                  <w14:srgbClr w14:val="FFFF00"/>
                </w14:gs>
                <w14:gs w14:pos="45000">
                  <w14:srgbClr w14:val="FF0000"/>
                </w14:gs>
                <w14:gs w14:pos="83000">
                  <w14:srgbClr w14:val="00B0F0"/>
                </w14:gs>
              </w14:gsLst>
              <w14:lin w14:ang="2700000" w14:scaled="0"/>
            </w14:gradFill>
          </w14:textFill>
        </w:rPr>
        <w:t xml:space="preserve"> (Linnaeus, 1771)</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Allomyrina</w:t>
      </w:r>
      <w:proofErr w:type="spellEnd"/>
      <w:r w:rsidRPr="002A543E">
        <w:rPr>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dichotomus</w:t>
      </w:r>
      <w:proofErr w:type="spellEnd"/>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目次</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名稱</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編輯</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因為其代表性，在日語中，獨角仙</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カブトムシ）的カブト翻譯成中文是兜盔、頭盔，ムシ則是蟲，組合在一起便是「兜蟲」名稱的由來。</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所有兜蟲亞</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科的甲蟲，</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均被稱為</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兜蟲</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」，例如在日本的亞種獨角仙</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學名：</w:t>
      </w:r>
      <w:proofErr w:type="spellStart"/>
      <w:r w:rsidRPr="002A543E">
        <w:rPr>
          <w14:textFill>
            <w14:gradFill>
              <w14:gsLst>
                <w14:gs w14:pos="0">
                  <w14:srgbClr w14:val="FFFF00"/>
                </w14:gs>
                <w14:gs w14:pos="45000">
                  <w14:srgbClr w14:val="FF0000"/>
                </w14:gs>
                <w14:gs w14:pos="83000">
                  <w14:srgbClr w14:val="00B0F0"/>
                </w14:gs>
              </w14:gsLst>
              <w14:lin w14:ang="2700000" w14:scaled="0"/>
            </w14:gradFill>
          </w14:textFill>
        </w:rPr>
        <w:t>Trypoxylus</w:t>
      </w:r>
      <w:proofErr w:type="spellEnd"/>
      <w:r w:rsidRPr="002A543E">
        <w:rPr>
          <w14:textFill>
            <w14:gradFill>
              <w14:gsLst>
                <w14:gs w14:pos="0">
                  <w14:srgbClr w14:val="FFFF00"/>
                </w14:gs>
                <w14:gs w14:pos="45000">
                  <w14:srgbClr w14:val="FF0000"/>
                </w14:gs>
                <w14:gs w14:pos="83000">
                  <w14:srgbClr w14:val="00B0F0"/>
                </w14:gs>
              </w14:gsLst>
              <w14:lin w14:ang="2700000" w14:scaled="0"/>
            </w14:gradFill>
          </w14:textFill>
        </w:rPr>
        <w:t xml:space="preserve"> d.</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使用地區，這樣的泛稱並不常見。</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學名</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Allomyrina</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是</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Trypoxylus</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 </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的同物異名</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，亦有學者倡議</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分為亞屬</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生態</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飼養</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編輯</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獨角仙是</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極容易飼養成蟲的入門昆蟲寵物，</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牠</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們的幼蟲對環境、溫度、飼料有極高的接受度，只要定時清理糞便、更換</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牠</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們的食物</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腐植土</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獨角仙幼蟲</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幾乎都能成功的羽化成蟲。</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獨角仙幼蟲</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雖然對環境的適應力強，但是太過惡劣的環境有可能讓</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獨角仙受到</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感染，黑斑病</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幼蟲因感染而啟動免疫系統造成的黑斑</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以及</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白僵菌都</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是幼蟲易得到的傳染病。</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此外，</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如果</w:t>
      </w:r>
      <w:proofErr w:type="gram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飼育者過度</w:t>
      </w:r>
      <w:proofErr w:type="gram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的干擾幼蟲，時常使幼蟲處在躁動狀態下，嚴重可能導致幼蟲絕食死亡輕則羽化出超小型個體。</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亞種</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編輯</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T. d.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dichotoma</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：分布於中國大陸。</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T. d.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inchachina</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：分布於沖繩群島久米島。</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T. d.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politus</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：分布於泰國。</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T. d.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septentrionalis</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：分布於日本、朝鮮半島和中國大陸。</w:t>
      </w:r>
    </w:p>
    <w:p w:rsidR="004C2A5A" w:rsidRPr="002A543E" w:rsidRDefault="004C2A5A" w:rsidP="004C2A5A">
      <w:pPr>
        <w:rPr>
          <w:rFonts w:hint="eastAsia"/>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T. d.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takarai</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：分布於沖繩群島沖繩島。</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 xml:space="preserve">T. d. </w:t>
      </w:r>
      <w:proofErr w:type="spellStart"/>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tunobosonis</w:t>
      </w:r>
      <w:proofErr w:type="spellEnd"/>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：分布於臺灣。</w:t>
      </w:r>
      <w:r w:rsidRPr="002A543E">
        <w:rPr>
          <w:rFonts w:hint="eastAsia"/>
          <w14:textFill>
            <w14:gradFill>
              <w14:gsLst>
                <w14:gs w14:pos="0">
                  <w14:srgbClr w14:val="FFFF00"/>
                </w14:gs>
                <w14:gs w14:pos="45000">
                  <w14:srgbClr w14:val="FF0000"/>
                </w14:gs>
                <w14:gs w14:pos="83000">
                  <w14:srgbClr w14:val="00B0F0"/>
                </w14:gs>
              </w14:gsLst>
              <w14:lin w14:ang="2700000" w14:scaled="0"/>
            </w14:gradFill>
          </w14:textFill>
        </w:rPr>
        <w:t>[4][1][5][3]</w:t>
      </w:r>
    </w:p>
    <w:p w:rsidR="004C2A5A" w:rsidRPr="002A543E" w:rsidRDefault="004C2A5A" w:rsidP="004C2A5A">
      <w:pPr>
        <w:rPr>
          <w14:textFill>
            <w14:gradFill>
              <w14:gsLst>
                <w14:gs w14:pos="0">
                  <w14:srgbClr w14:val="FFFF00"/>
                </w14:gs>
                <w14:gs w14:pos="45000">
                  <w14:srgbClr w14:val="FF0000"/>
                </w14:gs>
                <w14:gs w14:pos="83000">
                  <w14:srgbClr w14:val="00B0F0"/>
                </w14:gs>
              </w14:gsLst>
              <w14:lin w14:ang="2700000" w14:scaled="0"/>
            </w14:gradFill>
          </w14:textFill>
        </w:rPr>
      </w:pPr>
    </w:p>
    <w:p w:rsidR="004C2A5A" w:rsidRDefault="004C2A5A" w:rsidP="004C2A5A"/>
    <w:p w:rsidR="004C2A5A" w:rsidRDefault="004C2A5A" w:rsidP="004C2A5A">
      <w:r w:rsidRPr="004C2A5A">
        <w:drawing>
          <wp:inline distT="0" distB="0" distL="0" distR="0">
            <wp:extent cx="2085975" cy="1571625"/>
            <wp:effectExtent l="0" t="0" r="9525" b="9525"/>
            <wp:docPr id="3" name="圖片 3" descr="Kabutomushi-JapaneseBeetle-July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utomushi-JapaneseBeetle-July2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571625"/>
                    </a:xfrm>
                    <a:prstGeom prst="rect">
                      <a:avLst/>
                    </a:prstGeom>
                    <a:noFill/>
                    <a:ln>
                      <a:noFill/>
                    </a:ln>
                  </pic:spPr>
                </pic:pic>
              </a:graphicData>
            </a:graphic>
          </wp:inline>
        </w:drawing>
      </w:r>
    </w:p>
    <w:p w:rsidR="004C2A5A" w:rsidRPr="004C2A5A" w:rsidRDefault="004C2A5A" w:rsidP="004C2A5A"/>
    <w:p w:rsidR="004C2A5A" w:rsidRPr="004C2A5A" w:rsidRDefault="004C2A5A" w:rsidP="004C2A5A"/>
    <w:p w:rsidR="004C2A5A" w:rsidRDefault="004C2A5A" w:rsidP="004C2A5A"/>
    <w:p w:rsidR="00A609D5" w:rsidRPr="004C2A5A" w:rsidRDefault="004C2A5A" w:rsidP="004C2A5A">
      <w:r w:rsidRPr="004C2A5A">
        <w:drawing>
          <wp:inline distT="0" distB="0" distL="0" distR="0">
            <wp:extent cx="2095500" cy="2152650"/>
            <wp:effectExtent l="0" t="0" r="0" b="0"/>
            <wp:docPr id="4" name="圖片 4" descr="Dynastin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nastina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152650"/>
                    </a:xfrm>
                    <a:prstGeom prst="rect">
                      <a:avLst/>
                    </a:prstGeom>
                    <a:noFill/>
                    <a:ln>
                      <a:noFill/>
                    </a:ln>
                  </pic:spPr>
                </pic:pic>
              </a:graphicData>
            </a:graphic>
          </wp:inline>
        </w:drawing>
      </w:r>
    </w:p>
    <w:sectPr w:rsidR="00A609D5" w:rsidRPr="004C2A5A" w:rsidSect="00DB30F9">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4A"/>
    <w:rsid w:val="000A7E4A"/>
    <w:rsid w:val="002A543E"/>
    <w:rsid w:val="004C2A5A"/>
    <w:rsid w:val="00A609D5"/>
    <w:rsid w:val="00C50BE8"/>
    <w:rsid w:val="00DB3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CF75"/>
  <w15:chartTrackingRefBased/>
  <w15:docId w15:val="{F4711885-B4BF-49B4-BB89-D10DA4F1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B30F9"/>
    <w:rPr>
      <w:kern w:val="0"/>
      <w:sz w:val="22"/>
    </w:rPr>
  </w:style>
  <w:style w:type="character" w:customStyle="1" w:styleId="a4">
    <w:name w:val="無間距 字元"/>
    <w:basedOn w:val="a0"/>
    <w:link w:val="a3"/>
    <w:uiPriority w:val="1"/>
    <w:rsid w:val="00DB30F9"/>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法國鬥牛犬</dc:title>
  <dc:subject/>
  <dc:creator>Windows 使用者</dc:creator>
  <cp:keywords/>
  <dc:description/>
  <cp:lastModifiedBy>Windows 使用者</cp:lastModifiedBy>
  <cp:revision>32</cp:revision>
  <dcterms:created xsi:type="dcterms:W3CDTF">2022-06-13T03:06:00Z</dcterms:created>
  <dcterms:modified xsi:type="dcterms:W3CDTF">2022-06-27T03:05:00Z</dcterms:modified>
</cp:coreProperties>
</file>