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E97578" w:rsidRPr="00730E9B" w:rsidTr="00730E9B">
        <w:trPr>
          <w:trHeight w:val="1520"/>
        </w:trPr>
        <w:tc>
          <w:tcPr>
            <w:tcW w:w="1670" w:type="dxa"/>
            <w:vAlign w:val="center"/>
          </w:tcPr>
          <w:p w:rsidR="00E97578" w:rsidRPr="00730E9B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730E9B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起點</w:t>
            </w:r>
          </w:p>
          <w:p w:rsidR="00E97578" w:rsidRPr="00730E9B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730E9B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停留＋</w:t>
            </w:r>
            <w:r w:rsidRPr="00730E9B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2000</w:t>
            </w:r>
          </w:p>
        </w:tc>
        <w:tc>
          <w:tcPr>
            <w:tcW w:w="1670" w:type="dxa"/>
            <w:vAlign w:val="center"/>
          </w:tcPr>
          <w:p w:rsidR="00E97578" w:rsidRPr="004711FC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治療隊友</w:t>
            </w:r>
          </w:p>
          <w:p w:rsidR="00E97578" w:rsidRPr="004711FC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1580</w:t>
            </w:r>
          </w:p>
        </w:tc>
        <w:tc>
          <w:tcPr>
            <w:tcW w:w="1670" w:type="dxa"/>
            <w:vAlign w:val="center"/>
          </w:tcPr>
          <w:p w:rsidR="00E97578" w:rsidRPr="004711FC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救下隊友</w:t>
            </w:r>
          </w:p>
          <w:p w:rsidR="00E97578" w:rsidRPr="004711FC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3240</w:t>
            </w:r>
          </w:p>
        </w:tc>
        <w:tc>
          <w:tcPr>
            <w:tcW w:w="1670" w:type="dxa"/>
            <w:vAlign w:val="center"/>
          </w:tcPr>
          <w:p w:rsidR="00E97578" w:rsidRPr="004711FC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受傷</w:t>
            </w:r>
          </w:p>
          <w:p w:rsidR="00E97578" w:rsidRPr="004711FC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－</w:t>
            </w:r>
            <w:r w:rsidR="00194A2C"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2150</w:t>
            </w:r>
          </w:p>
        </w:tc>
        <w:tc>
          <w:tcPr>
            <w:tcW w:w="1671" w:type="dxa"/>
            <w:vAlign w:val="center"/>
          </w:tcPr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休息一會兒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00B0F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00B0F0"/>
                <w:sz w:val="28"/>
                <w:szCs w:val="28"/>
              </w:rPr>
              <w:t>暫停兩局</w:t>
            </w:r>
          </w:p>
        </w:tc>
      </w:tr>
      <w:tr w:rsidR="00E97578" w:rsidRPr="00730E9B" w:rsidTr="00730E9B">
        <w:trPr>
          <w:trHeight w:val="1647"/>
        </w:trPr>
        <w:tc>
          <w:tcPr>
            <w:tcW w:w="1670" w:type="dxa"/>
            <w:vAlign w:val="center"/>
          </w:tcPr>
          <w:p w:rsidR="00E97578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被監管打暈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－</w:t>
            </w: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2160</w:t>
            </w:r>
          </w:p>
        </w:tc>
        <w:tc>
          <w:tcPr>
            <w:tcW w:w="5010" w:type="dxa"/>
            <w:gridSpan w:val="3"/>
            <w:vMerge w:val="restart"/>
            <w:vAlign w:val="center"/>
          </w:tcPr>
          <w:p w:rsidR="00E97578" w:rsidRPr="00730E9B" w:rsidRDefault="00301F8A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ndara" w:eastAsia="文鼎ＰＯＰ－２" w:hAnsi="Candara"/>
                <w:noProof/>
                <w:color w:val="CC66F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-3175</wp:posOffset>
                  </wp:positionV>
                  <wp:extent cx="1695450" cy="27051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0px-红夫人-海报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ndara" w:eastAsia="文鼎ＰＯＰ－２" w:hAnsi="Candara"/>
                <w:noProof/>
                <w:color w:val="CC66FF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4022090</wp:posOffset>
                  </wp:positionV>
                  <wp:extent cx="2984500" cy="1562100"/>
                  <wp:effectExtent l="0" t="0" r="635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0px-Golden_Future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1" w:type="dxa"/>
            <w:vAlign w:val="center"/>
          </w:tcPr>
          <w:p w:rsidR="00E97578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proofErr w:type="gramStart"/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溜鬼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60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秒</w:t>
            </w:r>
            <w:proofErr w:type="gramEnd"/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1390</w:t>
            </w:r>
          </w:p>
        </w:tc>
      </w:tr>
      <w:tr w:rsidR="00E97578" w:rsidRPr="00730E9B" w:rsidTr="00730E9B">
        <w:trPr>
          <w:trHeight w:val="1520"/>
        </w:trPr>
        <w:tc>
          <w:tcPr>
            <w:tcW w:w="1670" w:type="dxa"/>
            <w:vAlign w:val="center"/>
          </w:tcPr>
          <w:p w:rsidR="00E97578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儲值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3760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E97578" w:rsidRPr="00730E9B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E97578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監管佛你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1000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</w:p>
        </w:tc>
      </w:tr>
      <w:tr w:rsidR="00E97578" w:rsidRPr="00730E9B" w:rsidTr="00730E9B">
        <w:trPr>
          <w:trHeight w:val="1520"/>
        </w:trPr>
        <w:tc>
          <w:tcPr>
            <w:tcW w:w="1670" w:type="dxa"/>
            <w:vAlign w:val="center"/>
          </w:tcPr>
          <w:p w:rsidR="00E97578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朋友送祭司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4888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E97578" w:rsidRPr="00730E9B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E97578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全軍覆沒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－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4520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</w:p>
        </w:tc>
      </w:tr>
      <w:tr w:rsidR="00E97578" w:rsidRPr="00730E9B" w:rsidTr="00730E9B">
        <w:trPr>
          <w:trHeight w:val="1647"/>
        </w:trPr>
        <w:tc>
          <w:tcPr>
            <w:tcW w:w="1670" w:type="dxa"/>
            <w:vAlign w:val="center"/>
          </w:tcPr>
          <w:p w:rsidR="00E97578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掛機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－</w:t>
            </w: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3980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E97578" w:rsidRPr="00730E9B" w:rsidRDefault="00E97578" w:rsidP="00730E9B">
            <w:pPr>
              <w:spacing w:line="360" w:lineRule="exact"/>
              <w:jc w:val="center"/>
              <w:rPr>
                <w:rFonts w:ascii="Candara" w:eastAsia="文鼎ＰＯＰ－２" w:hAnsi="Candar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503C17" w:rsidRPr="004711FC" w:rsidRDefault="00301F8A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E1760" wp14:editId="4E43A13B">
                      <wp:simplePos x="0" y="0"/>
                      <wp:positionH relativeFrom="column">
                        <wp:posOffset>-3094355</wp:posOffset>
                      </wp:positionH>
                      <wp:positionV relativeFrom="paragraph">
                        <wp:posOffset>145415</wp:posOffset>
                      </wp:positionV>
                      <wp:extent cx="2933700" cy="771525"/>
                      <wp:effectExtent l="0" t="0" r="0" b="952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01F8A" w:rsidRPr="00D61009" w:rsidRDefault="00301F8A" w:rsidP="00301F8A">
                                  <w:pPr>
                                    <w:jc w:val="center"/>
                                    <w:rPr>
                                      <w:rFonts w:ascii="Candara" w:eastAsia="文鼎ＰＯＰ－２" w:hAnsi="Candara"/>
                                      <w:b/>
                                      <w:outline/>
                                      <w:noProof/>
                                      <w:color w:val="4472C4" w:themeColor="accent5"/>
                                      <w:sz w:val="56"/>
                                      <w:szCs w:val="5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D61009">
                                    <w:rPr>
                                      <w:rFonts w:ascii="Candara" w:eastAsia="文鼎ＰＯＰ－２" w:hAnsi="Candara" w:hint="eastAsia"/>
                                      <w:b/>
                                      <w:outline/>
                                      <w:noProof/>
                                      <w:color w:val="4472C4" w:themeColor="accent5"/>
                                      <w:sz w:val="56"/>
                                      <w:szCs w:val="5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第五人格大富翁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E17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-243.65pt;margin-top:11.45pt;width:231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" filled="f" stroked="f">
                      <v:fill o:detectmouseclick="t"/>
                      <v:textbox>
                        <w:txbxContent>
                          <w:p w:rsidR="00301F8A" w:rsidRPr="00D61009" w:rsidRDefault="00301F8A" w:rsidP="00301F8A">
                            <w:pPr>
                              <w:jc w:val="center"/>
                              <w:rPr>
                                <w:rFonts w:ascii="Candara" w:eastAsia="文鼎ＰＯＰ－２" w:hAnsi="Candara"/>
                                <w:b/>
                                <w:outline/>
                                <w:noProof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61009">
                              <w:rPr>
                                <w:rFonts w:ascii="Candara" w:eastAsia="文鼎ＰＯＰ－２" w:hAnsi="Candara" w:hint="eastAsia"/>
                                <w:b/>
                                <w:outline/>
                                <w:noProof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第五人格大富翁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C17"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砸監管板子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2710</w:t>
            </w:r>
          </w:p>
        </w:tc>
      </w:tr>
      <w:tr w:rsidR="00194A2C" w:rsidRPr="00730E9B" w:rsidTr="00730E9B">
        <w:trPr>
          <w:trHeight w:val="1520"/>
        </w:trPr>
        <w:tc>
          <w:tcPr>
            <w:tcW w:w="1670" w:type="dxa"/>
            <w:vAlign w:val="center"/>
          </w:tcPr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proofErr w:type="gramStart"/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破譯密碼</w:t>
            </w:r>
            <w:proofErr w:type="gramEnd"/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機</w:t>
            </w:r>
          </w:p>
          <w:p w:rsidR="00194A2C" w:rsidRPr="004711FC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4000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194A2C" w:rsidRPr="00730E9B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194A2C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四逃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4200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</w:p>
        </w:tc>
      </w:tr>
      <w:tr w:rsidR="00194A2C" w:rsidRPr="00730E9B" w:rsidTr="00730E9B">
        <w:trPr>
          <w:trHeight w:val="1520"/>
        </w:trPr>
        <w:tc>
          <w:tcPr>
            <w:tcW w:w="1670" w:type="dxa"/>
            <w:vAlign w:val="center"/>
          </w:tcPr>
          <w:p w:rsidR="00194A2C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翻箱</w:t>
            </w:r>
          </w:p>
          <w:p w:rsidR="00A40839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CC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CC66FF"/>
                <w:sz w:val="28"/>
                <w:szCs w:val="28"/>
              </w:rPr>
              <w:t>1830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194A2C" w:rsidRPr="00730E9B" w:rsidRDefault="00194A2C" w:rsidP="00730E9B">
            <w:pPr>
              <w:spacing w:line="360" w:lineRule="exact"/>
              <w:jc w:val="center"/>
              <w:rPr>
                <w:rFonts w:ascii="Candara" w:eastAsia="文鼎ＰＯＰ－２" w:hAnsi="Candara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194A2C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被綁到地下室</w:t>
            </w:r>
          </w:p>
          <w:p w:rsidR="00A40839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FF66FF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－</w:t>
            </w:r>
            <w:r w:rsidRPr="004711FC">
              <w:rPr>
                <w:rFonts w:ascii="Candara" w:eastAsia="文鼎ＰＯＰ－２" w:hAnsi="Candara"/>
                <w:color w:val="FF66FF"/>
                <w:sz w:val="28"/>
                <w:szCs w:val="28"/>
              </w:rPr>
              <w:t>2690</w:t>
            </w:r>
          </w:p>
        </w:tc>
      </w:tr>
      <w:tr w:rsidR="00194A2C" w:rsidRPr="00730E9B" w:rsidTr="00730E9B">
        <w:trPr>
          <w:trHeight w:val="1647"/>
        </w:trPr>
        <w:tc>
          <w:tcPr>
            <w:tcW w:w="1670" w:type="dxa"/>
            <w:vAlign w:val="center"/>
          </w:tcPr>
          <w:p w:rsidR="00DD7023" w:rsidRPr="004711FC" w:rsidRDefault="00DD7023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逃脫監管魔掌（沒事）</w:t>
            </w:r>
          </w:p>
        </w:tc>
        <w:tc>
          <w:tcPr>
            <w:tcW w:w="1670" w:type="dxa"/>
            <w:vAlign w:val="center"/>
          </w:tcPr>
          <w:p w:rsidR="00194A2C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買加速劑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－</w:t>
            </w: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3280</w:t>
            </w:r>
          </w:p>
          <w:p w:rsidR="00503C17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（</w:t>
            </w:r>
            <w:r w:rsidR="00503C17"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往前三格</w:t>
            </w: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）</w:t>
            </w:r>
          </w:p>
        </w:tc>
        <w:tc>
          <w:tcPr>
            <w:tcW w:w="1670" w:type="dxa"/>
            <w:vAlign w:val="center"/>
          </w:tcPr>
          <w:p w:rsidR="00194A2C" w:rsidRPr="004711FC" w:rsidRDefault="00DD7023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proofErr w:type="gramStart"/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翻板加速</w:t>
            </w:r>
            <w:proofErr w:type="gramEnd"/>
          </w:p>
          <w:p w:rsidR="00DD7023" w:rsidRPr="004711FC" w:rsidRDefault="00DD7023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1010</w:t>
            </w:r>
          </w:p>
        </w:tc>
        <w:tc>
          <w:tcPr>
            <w:tcW w:w="1670" w:type="dxa"/>
            <w:vAlign w:val="center"/>
          </w:tcPr>
          <w:p w:rsidR="00194A2C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放棄治療</w:t>
            </w:r>
          </w:p>
          <w:p w:rsidR="00A40839" w:rsidRPr="004711FC" w:rsidRDefault="00A40839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－</w:t>
            </w: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4960</w:t>
            </w:r>
          </w:p>
        </w:tc>
        <w:tc>
          <w:tcPr>
            <w:tcW w:w="1671" w:type="dxa"/>
            <w:vAlign w:val="center"/>
          </w:tcPr>
          <w:p w:rsidR="00194A2C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最佳演繹</w:t>
            </w:r>
          </w:p>
          <w:p w:rsidR="00503C17" w:rsidRPr="004711FC" w:rsidRDefault="00503C17" w:rsidP="00730E9B">
            <w:pPr>
              <w:spacing w:line="360" w:lineRule="exact"/>
              <w:jc w:val="center"/>
              <w:rPr>
                <w:rFonts w:ascii="Candara" w:eastAsia="文鼎ＰＯＰ－２" w:hAnsi="Candara"/>
                <w:color w:val="92D050"/>
                <w:sz w:val="28"/>
                <w:szCs w:val="28"/>
              </w:rPr>
            </w:pP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＋</w:t>
            </w:r>
            <w:r w:rsidRPr="004711FC">
              <w:rPr>
                <w:rFonts w:ascii="Candara" w:eastAsia="文鼎ＰＯＰ－２" w:hAnsi="Candara"/>
                <w:color w:val="92D050"/>
                <w:sz w:val="28"/>
                <w:szCs w:val="28"/>
              </w:rPr>
              <w:t>5000</w:t>
            </w:r>
          </w:p>
        </w:tc>
      </w:tr>
    </w:tbl>
    <w:p w:rsidR="00210038" w:rsidRDefault="00210038"/>
    <w:sectPr w:rsidR="002100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78"/>
    <w:rsid w:val="00194A2C"/>
    <w:rsid w:val="00210038"/>
    <w:rsid w:val="00301F8A"/>
    <w:rsid w:val="00311483"/>
    <w:rsid w:val="004711FC"/>
    <w:rsid w:val="00503C17"/>
    <w:rsid w:val="00730E9B"/>
    <w:rsid w:val="00A40839"/>
    <w:rsid w:val="00B415D7"/>
    <w:rsid w:val="00D61009"/>
    <w:rsid w:val="00DD7023"/>
    <w:rsid w:val="00E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CA1C"/>
  <w15:chartTrackingRefBased/>
  <w15:docId w15:val="{E009C962-EDE9-4B8C-A2F1-62CF568A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2020-05-13T00:54:00Z</dcterms:created>
  <dcterms:modified xsi:type="dcterms:W3CDTF">2020-05-27T01:22:00Z</dcterms:modified>
</cp:coreProperties>
</file>