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1" w:type="dxa"/>
        <w:tblLook w:val="04A0" w:firstRow="1" w:lastRow="0" w:firstColumn="1" w:lastColumn="0" w:noHBand="0" w:noVBand="1"/>
      </w:tblPr>
      <w:tblGrid>
        <w:gridCol w:w="1743"/>
        <w:gridCol w:w="1654"/>
        <w:gridCol w:w="1650"/>
        <w:gridCol w:w="1650"/>
        <w:gridCol w:w="1654"/>
      </w:tblGrid>
      <w:tr w:rsidR="00104F5B" w:rsidRPr="001B0736" w:rsidTr="00FA60FF">
        <w:trPr>
          <w:trHeight w:val="1557"/>
        </w:trPr>
        <w:tc>
          <w:tcPr>
            <w:tcW w:w="1743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D21CCA">
            <w:pPr>
              <w:rPr>
                <w:rFonts w:ascii="文鼎中特廣告體" w:eastAsia="文鼎中特廣告體" w:hint="eastAsia"/>
                <w:color w:val="92D05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92D050"/>
                <w:szCs w:val="24"/>
              </w:rPr>
              <w:t>起點獲得</w:t>
            </w:r>
          </w:p>
          <w:p w:rsidR="00D21CCA" w:rsidRPr="001B0736" w:rsidRDefault="00D21CCA">
            <w:pPr>
              <w:rPr>
                <w:rFonts w:ascii="文鼎中特廣告體" w:eastAsia="文鼎中特廣告體" w:hint="eastAsia"/>
                <w:color w:val="92D05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92D050"/>
                <w:szCs w:val="24"/>
              </w:rPr>
              <w:t>2000元</w:t>
            </w:r>
          </w:p>
        </w:tc>
        <w:tc>
          <w:tcPr>
            <w:tcW w:w="1654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9D7C04">
            <w:pPr>
              <w:rPr>
                <w:rFonts w:ascii="文鼎中特廣告體" w:eastAsia="文鼎中特廣告體" w:hint="eastAsia"/>
                <w:color w:val="92D05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92D050"/>
                <w:szCs w:val="24"/>
              </w:rPr>
              <w:t>打敗巨人</w:t>
            </w:r>
          </w:p>
          <w:p w:rsidR="009D7C04" w:rsidRPr="001B0736" w:rsidRDefault="009D7C04">
            <w:pPr>
              <w:rPr>
                <w:rFonts w:ascii="文鼎中特廣告體" w:eastAsia="文鼎中特廣告體" w:hint="eastAsia"/>
                <w:color w:val="92D05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92D050"/>
                <w:szCs w:val="24"/>
              </w:rPr>
              <w:t>5000元</w:t>
            </w:r>
          </w:p>
        </w:tc>
        <w:tc>
          <w:tcPr>
            <w:tcW w:w="1650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9D7C04">
            <w:pPr>
              <w:rPr>
                <w:rFonts w:ascii="文鼎中特廣告體" w:eastAsia="文鼎中特廣告體" w:hint="eastAsia"/>
                <w:color w:val="92D05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92D050"/>
                <w:szCs w:val="24"/>
              </w:rPr>
              <w:t>抓走艾蓮</w:t>
            </w:r>
          </w:p>
          <w:p w:rsidR="009D7C04" w:rsidRPr="001B0736" w:rsidRDefault="009D7C04">
            <w:pPr>
              <w:rPr>
                <w:rFonts w:ascii="文鼎中特廣告體" w:eastAsia="文鼎中特廣告體" w:hint="eastAsia"/>
                <w:color w:val="92D05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92D050"/>
                <w:szCs w:val="24"/>
              </w:rPr>
              <w:t>0元</w:t>
            </w:r>
          </w:p>
        </w:tc>
        <w:tc>
          <w:tcPr>
            <w:tcW w:w="1650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9D7C04">
            <w:pPr>
              <w:rPr>
                <w:rFonts w:ascii="文鼎中特廣告體" w:eastAsia="文鼎中特廣告體" w:hint="eastAsia"/>
                <w:color w:val="92D05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92D050"/>
                <w:szCs w:val="24"/>
              </w:rPr>
              <w:t>打超高刑巨</w:t>
            </w:r>
          </w:p>
          <w:p w:rsidR="009D7C04" w:rsidRPr="001B0736" w:rsidRDefault="009D7C04">
            <w:pPr>
              <w:rPr>
                <w:rFonts w:ascii="文鼎中特廣告體" w:eastAsia="文鼎中特廣告體" w:hint="eastAsia"/>
                <w:color w:val="92D05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92D050"/>
                <w:szCs w:val="24"/>
              </w:rPr>
              <w:t>人</w:t>
            </w:r>
            <w:r w:rsidR="00C27CD5" w:rsidRPr="001B0736">
              <w:rPr>
                <w:rFonts w:ascii="文鼎中特廣告體" w:eastAsia="文鼎中特廣告體" w:hint="eastAsia"/>
                <w:color w:val="92D050"/>
                <w:szCs w:val="24"/>
              </w:rPr>
              <w:t>50000</w:t>
            </w:r>
            <w:r w:rsidRPr="001B0736">
              <w:rPr>
                <w:rFonts w:ascii="文鼎中特廣告體" w:eastAsia="文鼎中特廣告體" w:hint="eastAsia"/>
                <w:color w:val="92D050"/>
                <w:szCs w:val="24"/>
              </w:rPr>
              <w:t>元</w:t>
            </w:r>
          </w:p>
        </w:tc>
        <w:tc>
          <w:tcPr>
            <w:tcW w:w="1654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9D7C04">
            <w:pPr>
              <w:rPr>
                <w:rFonts w:ascii="文鼎中特廣告體" w:eastAsia="文鼎中特廣告體" w:hint="eastAsia"/>
                <w:color w:val="92D05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92D050"/>
                <w:szCs w:val="24"/>
              </w:rPr>
              <w:t>幫</w:t>
            </w:r>
            <w:r w:rsidR="00306D07" w:rsidRPr="001B0736">
              <w:rPr>
                <w:rFonts w:ascii="文鼎中特廣告體" w:eastAsia="文鼎中特廣告體" w:hint="eastAsia"/>
                <w:color w:val="92D050"/>
                <w:szCs w:val="24"/>
              </w:rPr>
              <w:t>助壞人付</w:t>
            </w:r>
          </w:p>
          <w:p w:rsidR="00306D07" w:rsidRPr="001B0736" w:rsidRDefault="004F5786">
            <w:pPr>
              <w:rPr>
                <w:rFonts w:ascii="文鼎中特廣告體" w:eastAsia="文鼎中特廣告體" w:hint="eastAsia"/>
                <w:color w:val="92D05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92D050"/>
                <w:szCs w:val="24"/>
              </w:rPr>
              <w:t>100</w:t>
            </w:r>
            <w:r w:rsidR="00306D07" w:rsidRPr="001B0736">
              <w:rPr>
                <w:rFonts w:ascii="文鼎中特廣告體" w:eastAsia="文鼎中特廣告體" w:hint="eastAsia"/>
                <w:color w:val="92D050"/>
                <w:szCs w:val="24"/>
              </w:rPr>
              <w:t>0元</w:t>
            </w:r>
          </w:p>
        </w:tc>
      </w:tr>
      <w:tr w:rsidR="001B0736" w:rsidRPr="001B0736" w:rsidTr="001B0736">
        <w:trPr>
          <w:trHeight w:val="1686"/>
        </w:trPr>
        <w:tc>
          <w:tcPr>
            <w:tcW w:w="1743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  <w:shd w:val="clear" w:color="auto" w:fill="auto"/>
          </w:tcPr>
          <w:p w:rsidR="00D21CCA" w:rsidRPr="001B0736" w:rsidRDefault="00CB348F">
            <w:pPr>
              <w:rPr>
                <w:rFonts w:ascii="文鼎中特廣告體" w:eastAsia="文鼎中特廣告體" w:hint="eastAsia"/>
                <w:color w:val="7030A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7030A0"/>
                <w:szCs w:val="24"/>
              </w:rPr>
              <w:t>打巨人444元</w:t>
            </w:r>
          </w:p>
        </w:tc>
        <w:tc>
          <w:tcPr>
            <w:tcW w:w="4954" w:type="dxa"/>
            <w:gridSpan w:val="3"/>
            <w:vMerge w:val="restart"/>
            <w:tcBorders>
              <w:left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104F5B" w:rsidP="001B0736">
            <w:pPr>
              <w:rPr>
                <w:rFonts w:hint="eastAsia"/>
                <w:color w:val="FFC000"/>
                <w:sz w:val="96"/>
                <w:szCs w:val="96"/>
              </w:rPr>
            </w:pPr>
            <w:bookmarkStart w:id="0" w:name="_GoBack"/>
            <w:r w:rsidRPr="001B0736">
              <w:rPr>
                <w:rFonts w:hint="eastAsia"/>
                <w:noProof/>
                <w:color w:val="FFC000"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1501140</wp:posOffset>
                  </wp:positionH>
                  <wp:positionV relativeFrom="paragraph">
                    <wp:posOffset>16510</wp:posOffset>
                  </wp:positionV>
                  <wp:extent cx="1310640" cy="1066125"/>
                  <wp:effectExtent l="0" t="0" r="3810" b="127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00px-Trumpeter_Swan_Sasata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106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hint="eastAsia"/>
                <w:noProof/>
                <w:color w:val="FFC000"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5193030</wp:posOffset>
                  </wp:positionV>
                  <wp:extent cx="1794740" cy="100965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llofDuty-BLACKOPS1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74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  <w:color w:val="FFC000"/>
                <w:sz w:val="96"/>
                <w:szCs w:val="96"/>
              </w:rPr>
              <w:drawing>
                <wp:inline distT="0" distB="0" distL="0" distR="0">
                  <wp:extent cx="1058416" cy="166433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gatsuma_Zenitsu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880" cy="1682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21CCA" w:rsidRPr="001B0736">
              <w:rPr>
                <w:rFonts w:hint="eastAsia"/>
                <w:color w:val="FFC000"/>
                <w:sz w:val="96"/>
                <w:szCs w:val="96"/>
              </w:rPr>
              <w:t>進擊的</w:t>
            </w:r>
            <w:r w:rsidR="001B0736" w:rsidRPr="001B0736">
              <w:rPr>
                <w:rFonts w:hint="eastAsia"/>
                <w:color w:val="FFC000"/>
                <w:sz w:val="96"/>
                <w:szCs w:val="96"/>
              </w:rPr>
              <w:t>巨人之炭治郎大富翁</w:t>
            </w:r>
          </w:p>
        </w:tc>
        <w:tc>
          <w:tcPr>
            <w:tcW w:w="1654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306D07">
            <w:pPr>
              <w:rPr>
                <w:rFonts w:ascii="文鼎中特廣告體" w:eastAsia="文鼎中特廣告體" w:hint="eastAsia"/>
                <w:color w:val="FFC00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FFC000"/>
                <w:szCs w:val="24"/>
              </w:rPr>
              <w:t>幫忙掃地</w:t>
            </w:r>
          </w:p>
          <w:p w:rsidR="00306D07" w:rsidRPr="001B0736" w:rsidRDefault="00306D07">
            <w:pPr>
              <w:rPr>
                <w:rFonts w:ascii="文鼎中特廣告體" w:eastAsia="文鼎中特廣告體" w:hint="eastAsia"/>
                <w:color w:val="FFC00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FFC000"/>
                <w:szCs w:val="24"/>
              </w:rPr>
              <w:t>500元</w:t>
            </w:r>
          </w:p>
        </w:tc>
      </w:tr>
      <w:tr w:rsidR="001B0736" w:rsidRPr="001B0736" w:rsidTr="001B0736">
        <w:trPr>
          <w:trHeight w:val="1557"/>
        </w:trPr>
        <w:tc>
          <w:tcPr>
            <w:tcW w:w="1743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  <w:shd w:val="clear" w:color="auto" w:fill="auto"/>
          </w:tcPr>
          <w:p w:rsidR="00D21CCA" w:rsidRPr="001B0736" w:rsidRDefault="00CB348F">
            <w:pPr>
              <w:rPr>
                <w:rFonts w:ascii="文鼎中特廣告體" w:eastAsia="文鼎中特廣告體" w:hint="eastAsia"/>
                <w:color w:val="7030A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7030A0"/>
                <w:szCs w:val="24"/>
              </w:rPr>
              <w:t>放假</w:t>
            </w:r>
          </w:p>
        </w:tc>
        <w:tc>
          <w:tcPr>
            <w:tcW w:w="4954" w:type="dxa"/>
            <w:gridSpan w:val="3"/>
            <w:vMerge/>
            <w:tcBorders>
              <w:left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D21CCA">
            <w:pPr>
              <w:rPr>
                <w:rFonts w:ascii="文鼎中特廣告體" w:eastAsia="文鼎中特廣告體" w:hint="eastAsia"/>
                <w:color w:val="FFC000"/>
                <w:szCs w:val="24"/>
              </w:rPr>
            </w:pPr>
          </w:p>
        </w:tc>
        <w:tc>
          <w:tcPr>
            <w:tcW w:w="1654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306D07">
            <w:pPr>
              <w:rPr>
                <w:rFonts w:ascii="文鼎中特廣告體" w:eastAsia="文鼎中特廣告體" w:hint="eastAsia"/>
                <w:color w:val="FFC00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FFC000"/>
                <w:szCs w:val="24"/>
              </w:rPr>
              <w:t>幫忙沒飯吃</w:t>
            </w:r>
          </w:p>
          <w:p w:rsidR="00306D07" w:rsidRPr="001B0736" w:rsidRDefault="00306D07">
            <w:pPr>
              <w:rPr>
                <w:rFonts w:ascii="文鼎中特廣告體" w:eastAsia="文鼎中特廣告體" w:hint="eastAsia"/>
                <w:color w:val="FFC00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FFC000"/>
                <w:szCs w:val="24"/>
              </w:rPr>
              <w:t>得人</w:t>
            </w:r>
            <w:r w:rsidR="004F5786" w:rsidRPr="001B0736">
              <w:rPr>
                <w:rFonts w:ascii="文鼎中特廣告體" w:eastAsia="文鼎中特廣告體" w:hint="eastAsia"/>
                <w:color w:val="FFC000"/>
                <w:szCs w:val="24"/>
              </w:rPr>
              <w:t>500</w:t>
            </w:r>
            <w:r w:rsidRPr="001B0736">
              <w:rPr>
                <w:rFonts w:ascii="文鼎中特廣告體" w:eastAsia="文鼎中特廣告體" w:hint="eastAsia"/>
                <w:color w:val="FFC000"/>
                <w:szCs w:val="24"/>
              </w:rPr>
              <w:t>0元</w:t>
            </w:r>
          </w:p>
        </w:tc>
      </w:tr>
      <w:tr w:rsidR="001B0736" w:rsidRPr="001B0736" w:rsidTr="001B0736">
        <w:trPr>
          <w:trHeight w:val="1557"/>
        </w:trPr>
        <w:tc>
          <w:tcPr>
            <w:tcW w:w="1743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  <w:shd w:val="clear" w:color="auto" w:fill="auto"/>
          </w:tcPr>
          <w:p w:rsidR="00D21CCA" w:rsidRPr="001B0736" w:rsidRDefault="00CB348F">
            <w:pPr>
              <w:rPr>
                <w:rFonts w:ascii="文鼎中特廣告體" w:eastAsia="文鼎中特廣告體" w:hint="eastAsia"/>
                <w:color w:val="7030A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7030A0"/>
                <w:szCs w:val="24"/>
              </w:rPr>
              <w:t>單挑時刻</w:t>
            </w:r>
          </w:p>
        </w:tc>
        <w:tc>
          <w:tcPr>
            <w:tcW w:w="4954" w:type="dxa"/>
            <w:gridSpan w:val="3"/>
            <w:vMerge/>
            <w:tcBorders>
              <w:left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D21CCA">
            <w:pPr>
              <w:rPr>
                <w:rFonts w:ascii="文鼎中特廣告體" w:eastAsia="文鼎中特廣告體" w:hint="eastAsia"/>
                <w:color w:val="FFC000"/>
                <w:szCs w:val="24"/>
              </w:rPr>
            </w:pPr>
          </w:p>
        </w:tc>
        <w:tc>
          <w:tcPr>
            <w:tcW w:w="1654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306D07">
            <w:pPr>
              <w:rPr>
                <w:rFonts w:ascii="文鼎中特廣告體" w:eastAsia="文鼎中特廣告體" w:hint="eastAsia"/>
                <w:color w:val="FFC00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FFC000"/>
                <w:szCs w:val="24"/>
              </w:rPr>
              <w:t>打倒比超大型</w:t>
            </w:r>
          </w:p>
          <w:p w:rsidR="00306D07" w:rsidRPr="001B0736" w:rsidRDefault="00306D07">
            <w:pPr>
              <w:rPr>
                <w:rFonts w:ascii="文鼎中特廣告體" w:eastAsia="文鼎中特廣告體" w:hint="eastAsia"/>
                <w:color w:val="FFC00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FFC000"/>
                <w:szCs w:val="24"/>
              </w:rPr>
              <w:t>巨人大兩倍</w:t>
            </w:r>
          </w:p>
          <w:p w:rsidR="00306D07" w:rsidRPr="001B0736" w:rsidRDefault="004F5786">
            <w:pPr>
              <w:rPr>
                <w:rFonts w:ascii="文鼎中特廣告體" w:eastAsia="文鼎中特廣告體" w:hint="eastAsia"/>
                <w:color w:val="FFC00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FFC000"/>
                <w:szCs w:val="24"/>
              </w:rPr>
              <w:t>100000</w:t>
            </w:r>
          </w:p>
          <w:p w:rsidR="00306D07" w:rsidRPr="001B0736" w:rsidRDefault="003E252F">
            <w:pPr>
              <w:rPr>
                <w:rFonts w:ascii="文鼎中特廣告體" w:eastAsia="文鼎中特廣告體" w:hint="eastAsia"/>
                <w:color w:val="FFC00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FFC000"/>
                <w:szCs w:val="24"/>
              </w:rPr>
              <w:t>元</w:t>
            </w:r>
          </w:p>
        </w:tc>
      </w:tr>
      <w:tr w:rsidR="001B0736" w:rsidRPr="001B0736" w:rsidTr="001B0736">
        <w:trPr>
          <w:trHeight w:val="1686"/>
        </w:trPr>
        <w:tc>
          <w:tcPr>
            <w:tcW w:w="1743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  <w:shd w:val="clear" w:color="auto" w:fill="auto"/>
          </w:tcPr>
          <w:p w:rsidR="00D21CCA" w:rsidRPr="001B0736" w:rsidRDefault="00CB348F">
            <w:pPr>
              <w:rPr>
                <w:rFonts w:ascii="文鼎中特廣告體" w:eastAsia="文鼎中特廣告體" w:hint="eastAsia"/>
                <w:color w:val="7030A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7030A0"/>
                <w:szCs w:val="24"/>
              </w:rPr>
              <w:t>打炭治郎付12221222222元</w:t>
            </w:r>
          </w:p>
        </w:tc>
        <w:tc>
          <w:tcPr>
            <w:tcW w:w="4954" w:type="dxa"/>
            <w:gridSpan w:val="3"/>
            <w:vMerge/>
            <w:tcBorders>
              <w:left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D21CCA">
            <w:pPr>
              <w:rPr>
                <w:rFonts w:ascii="文鼎中特廣告體" w:eastAsia="文鼎中特廣告體" w:hint="eastAsia"/>
                <w:color w:val="FFC000"/>
                <w:szCs w:val="24"/>
              </w:rPr>
            </w:pPr>
          </w:p>
        </w:tc>
        <w:tc>
          <w:tcPr>
            <w:tcW w:w="1654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</w:tcPr>
          <w:p w:rsidR="00C27CD5" w:rsidRPr="001B0736" w:rsidRDefault="00C27CD5">
            <w:pPr>
              <w:rPr>
                <w:rFonts w:ascii="文鼎中特廣告體" w:eastAsia="文鼎中特廣告體" w:hint="eastAsia"/>
                <w:color w:val="FFC00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FFC000"/>
                <w:szCs w:val="24"/>
              </w:rPr>
              <w:t>遇到善逸加444元</w:t>
            </w:r>
          </w:p>
        </w:tc>
      </w:tr>
      <w:tr w:rsidR="001B0736" w:rsidRPr="001B0736" w:rsidTr="001B0736">
        <w:trPr>
          <w:trHeight w:val="1557"/>
        </w:trPr>
        <w:tc>
          <w:tcPr>
            <w:tcW w:w="1743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  <w:shd w:val="clear" w:color="auto" w:fill="auto"/>
          </w:tcPr>
          <w:p w:rsidR="00D21CCA" w:rsidRPr="001B0736" w:rsidRDefault="00CB348F">
            <w:pPr>
              <w:rPr>
                <w:rFonts w:ascii="文鼎中特廣告體" w:eastAsia="文鼎中特廣告體" w:hint="eastAsia"/>
                <w:color w:val="7030A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7030A0"/>
                <w:szCs w:val="24"/>
              </w:rPr>
              <w:t>玩蜜梨加</w:t>
            </w:r>
          </w:p>
          <w:p w:rsidR="00CB348F" w:rsidRPr="001B0736" w:rsidRDefault="00CB348F">
            <w:pPr>
              <w:rPr>
                <w:rFonts w:ascii="文鼎中特廣告體" w:eastAsia="文鼎中特廣告體" w:hint="eastAsia"/>
                <w:color w:val="7030A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7030A0"/>
                <w:szCs w:val="24"/>
              </w:rPr>
              <w:t>50000元</w:t>
            </w:r>
          </w:p>
        </w:tc>
        <w:tc>
          <w:tcPr>
            <w:tcW w:w="4954" w:type="dxa"/>
            <w:gridSpan w:val="3"/>
            <w:vMerge/>
            <w:tcBorders>
              <w:left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D21CCA">
            <w:pPr>
              <w:rPr>
                <w:rFonts w:ascii="文鼎中特廣告體" w:eastAsia="文鼎中特廣告體" w:hint="eastAsia"/>
                <w:color w:val="FFC000"/>
                <w:szCs w:val="24"/>
              </w:rPr>
            </w:pPr>
          </w:p>
        </w:tc>
        <w:tc>
          <w:tcPr>
            <w:tcW w:w="1654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C27CD5">
            <w:pPr>
              <w:rPr>
                <w:rFonts w:ascii="文鼎中特廣告體" w:eastAsia="文鼎中特廣告體" w:hint="eastAsia"/>
                <w:color w:val="FFC00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FFC000"/>
                <w:szCs w:val="24"/>
              </w:rPr>
              <w:t>和鬼滅之刃</w:t>
            </w:r>
            <w:r w:rsidR="00D7621E" w:rsidRPr="001B0736">
              <w:rPr>
                <w:rFonts w:ascii="文鼎中特廣告體" w:eastAsia="文鼎中特廣告體" w:hint="eastAsia"/>
                <w:color w:val="FFC000"/>
                <w:szCs w:val="24"/>
              </w:rPr>
              <w:t>和</w:t>
            </w:r>
          </w:p>
          <w:p w:rsidR="00D7621E" w:rsidRPr="001B0736" w:rsidRDefault="00D7621E">
            <w:pPr>
              <w:rPr>
                <w:rFonts w:ascii="文鼎中特廣告體" w:eastAsia="文鼎中特廣告體" w:hint="eastAsia"/>
                <w:color w:val="FFC00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FFC000"/>
                <w:szCs w:val="24"/>
              </w:rPr>
              <w:t>作加</w:t>
            </w:r>
            <w:r w:rsidR="004F5786" w:rsidRPr="001B0736">
              <w:rPr>
                <w:rFonts w:ascii="文鼎中特廣告體" w:eastAsia="文鼎中特廣告體" w:hint="eastAsia"/>
                <w:color w:val="FFC000"/>
                <w:szCs w:val="24"/>
              </w:rPr>
              <w:t>5050</w:t>
            </w:r>
            <w:r w:rsidRPr="001B0736">
              <w:rPr>
                <w:rFonts w:ascii="文鼎中特廣告體" w:eastAsia="文鼎中特廣告體" w:hint="eastAsia"/>
                <w:color w:val="FFC000"/>
                <w:szCs w:val="24"/>
              </w:rPr>
              <w:t>元</w:t>
            </w:r>
          </w:p>
        </w:tc>
      </w:tr>
      <w:tr w:rsidR="001B0736" w:rsidRPr="001B0736" w:rsidTr="001B0736">
        <w:trPr>
          <w:trHeight w:val="1557"/>
        </w:trPr>
        <w:tc>
          <w:tcPr>
            <w:tcW w:w="1743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  <w:shd w:val="clear" w:color="auto" w:fill="auto"/>
          </w:tcPr>
          <w:p w:rsidR="00D21CCA" w:rsidRPr="001B0736" w:rsidRDefault="004F5786">
            <w:pPr>
              <w:rPr>
                <w:rFonts w:ascii="文鼎中特廣告體" w:eastAsia="文鼎中特廣告體" w:hint="eastAsia"/>
                <w:color w:val="7030A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7030A0"/>
                <w:szCs w:val="24"/>
              </w:rPr>
              <w:t>設陷阱</w:t>
            </w:r>
            <w:r w:rsidR="00CB348F" w:rsidRPr="001B0736">
              <w:rPr>
                <w:rFonts w:ascii="文鼎中特廣告體" w:eastAsia="文鼎中特廣告體" w:hint="eastAsia"/>
                <w:color w:val="7030A0"/>
                <w:szCs w:val="24"/>
              </w:rPr>
              <w:t>付3452元</w:t>
            </w:r>
          </w:p>
        </w:tc>
        <w:tc>
          <w:tcPr>
            <w:tcW w:w="4954" w:type="dxa"/>
            <w:gridSpan w:val="3"/>
            <w:vMerge/>
            <w:tcBorders>
              <w:left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D21CCA">
            <w:pPr>
              <w:rPr>
                <w:rFonts w:ascii="文鼎中特廣告體" w:eastAsia="文鼎中特廣告體" w:hint="eastAsia"/>
                <w:color w:val="FFC000"/>
                <w:szCs w:val="24"/>
              </w:rPr>
            </w:pPr>
          </w:p>
        </w:tc>
        <w:tc>
          <w:tcPr>
            <w:tcW w:w="1654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D7621E">
            <w:pPr>
              <w:rPr>
                <w:rFonts w:ascii="文鼎中特廣告體" w:eastAsia="文鼎中特廣告體" w:hint="eastAsia"/>
                <w:color w:val="FFC00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FFC000"/>
                <w:szCs w:val="24"/>
              </w:rPr>
              <w:t>打倒</w:t>
            </w:r>
            <w:r w:rsidRPr="001B0736">
              <w:rPr>
                <w:rFonts w:ascii="微軟正黑體" w:eastAsia="微軟正黑體" w:hAnsi="微軟正黑體" w:cs="微軟正黑體" w:hint="eastAsia"/>
                <w:color w:val="FFC000"/>
                <w:szCs w:val="24"/>
              </w:rPr>
              <w:t>倵</w:t>
            </w:r>
            <w:r w:rsidRPr="001B0736">
              <w:rPr>
                <w:rFonts w:ascii="文鼎中特廣告體" w:eastAsia="文鼎中特廣告體" w:hAnsi="文鼎中特廣告體" w:cs="文鼎中特廣告體" w:hint="eastAsia"/>
                <w:color w:val="FFC000"/>
                <w:szCs w:val="24"/>
              </w:rPr>
              <w:t>慘</w:t>
            </w:r>
          </w:p>
          <w:p w:rsidR="00D7621E" w:rsidRPr="001B0736" w:rsidRDefault="00D7621E">
            <w:pPr>
              <w:rPr>
                <w:rFonts w:ascii="文鼎中特廣告體" w:eastAsia="文鼎中特廣告體" w:hint="eastAsia"/>
                <w:color w:val="FFC00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FFC000"/>
                <w:szCs w:val="24"/>
              </w:rPr>
              <w:t>加</w:t>
            </w:r>
            <w:r w:rsidR="004F5786" w:rsidRPr="001B0736">
              <w:rPr>
                <w:rFonts w:ascii="文鼎中特廣告體" w:eastAsia="文鼎中特廣告體" w:hint="eastAsia"/>
                <w:color w:val="FFC000"/>
                <w:szCs w:val="24"/>
              </w:rPr>
              <w:t>3330元</w:t>
            </w:r>
          </w:p>
        </w:tc>
      </w:tr>
      <w:tr w:rsidR="00104F5B" w:rsidRPr="001B0736" w:rsidTr="00FA60FF">
        <w:trPr>
          <w:trHeight w:val="1686"/>
        </w:trPr>
        <w:tc>
          <w:tcPr>
            <w:tcW w:w="1743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4F5786">
            <w:pPr>
              <w:rPr>
                <w:rFonts w:ascii="文鼎中特廣告體" w:eastAsia="文鼎中特廣告體" w:hint="eastAsia"/>
                <w:color w:val="00B0F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00B0F0"/>
                <w:szCs w:val="24"/>
              </w:rPr>
              <w:t>打壞人加</w:t>
            </w:r>
          </w:p>
          <w:p w:rsidR="004F5786" w:rsidRPr="001B0736" w:rsidRDefault="004F5786">
            <w:pPr>
              <w:rPr>
                <w:rFonts w:ascii="文鼎中特廣告體" w:eastAsia="文鼎中特廣告體" w:hint="eastAsia"/>
                <w:color w:val="00B0F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00B0F0"/>
                <w:szCs w:val="24"/>
              </w:rPr>
              <w:t>14元</w:t>
            </w:r>
          </w:p>
        </w:tc>
        <w:tc>
          <w:tcPr>
            <w:tcW w:w="1654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4F5786">
            <w:pPr>
              <w:rPr>
                <w:rFonts w:ascii="文鼎中特廣告體" w:eastAsia="文鼎中特廣告體" w:hint="eastAsia"/>
                <w:color w:val="00B0F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00B0F0"/>
                <w:szCs w:val="24"/>
              </w:rPr>
              <w:t>罵人付555500元</w:t>
            </w:r>
          </w:p>
          <w:p w:rsidR="00FA60FF" w:rsidRPr="001B0736" w:rsidRDefault="00FA60FF">
            <w:pPr>
              <w:rPr>
                <w:rFonts w:ascii="文鼎中特廣告體" w:eastAsia="文鼎中特廣告體" w:hint="eastAsia"/>
                <w:color w:val="00B0F0"/>
                <w:szCs w:val="24"/>
              </w:rPr>
            </w:pPr>
          </w:p>
        </w:tc>
        <w:tc>
          <w:tcPr>
            <w:tcW w:w="1650" w:type="dxa"/>
            <w:tcBorders>
              <w:top w:val="single" w:sz="18" w:space="0" w:color="F0A22E" w:themeColor="accent1"/>
              <w:left w:val="single" w:sz="12" w:space="0" w:color="F0A22E" w:themeColor="accent1"/>
              <w:bottom w:val="single" w:sz="18" w:space="0" w:color="F0A22E" w:themeColor="accent1"/>
              <w:right w:val="single" w:sz="12" w:space="0" w:color="F0A22E" w:themeColor="accent1"/>
            </w:tcBorders>
          </w:tcPr>
          <w:p w:rsidR="00D21CCA" w:rsidRPr="001B0736" w:rsidRDefault="004F5786">
            <w:pPr>
              <w:rPr>
                <w:rFonts w:ascii="文鼎中特廣告體" w:eastAsia="文鼎中特廣告體" w:hint="eastAsia"/>
                <w:color w:val="00B0F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00B0F0"/>
                <w:szCs w:val="24"/>
              </w:rPr>
              <w:t>幫炭治郎加</w:t>
            </w:r>
          </w:p>
          <w:p w:rsidR="004F5786" w:rsidRPr="001B0736" w:rsidRDefault="004F5786">
            <w:pPr>
              <w:rPr>
                <w:rFonts w:ascii="文鼎中特廣告體" w:eastAsia="文鼎中特廣告體" w:hint="eastAsia"/>
                <w:color w:val="00B0F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00B0F0"/>
                <w:szCs w:val="24"/>
              </w:rPr>
              <w:t>111555元</w:t>
            </w:r>
          </w:p>
        </w:tc>
        <w:tc>
          <w:tcPr>
            <w:tcW w:w="1650" w:type="dxa"/>
            <w:tcBorders>
              <w:top w:val="single" w:sz="18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D7621E">
            <w:pPr>
              <w:rPr>
                <w:rFonts w:ascii="文鼎中特廣告體" w:eastAsia="文鼎中特廣告體" w:hint="eastAsia"/>
                <w:color w:val="00B0F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00B0F0"/>
                <w:szCs w:val="24"/>
              </w:rPr>
              <w:t>打蜜梨</w:t>
            </w:r>
            <w:r w:rsidR="004F5786" w:rsidRPr="001B0736">
              <w:rPr>
                <w:rFonts w:ascii="文鼎中特廣告體" w:eastAsia="文鼎中特廣告體" w:hint="eastAsia"/>
                <w:color w:val="00B0F0"/>
                <w:szCs w:val="24"/>
              </w:rPr>
              <w:t>加</w:t>
            </w:r>
          </w:p>
          <w:p w:rsidR="004F5786" w:rsidRPr="001B0736" w:rsidRDefault="004F5786">
            <w:pPr>
              <w:rPr>
                <w:rFonts w:ascii="文鼎中特廣告體" w:eastAsia="文鼎中特廣告體" w:hint="eastAsia"/>
                <w:color w:val="00B0F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00B0F0"/>
                <w:szCs w:val="24"/>
              </w:rPr>
              <w:t>5201元</w:t>
            </w:r>
          </w:p>
        </w:tc>
        <w:tc>
          <w:tcPr>
            <w:tcW w:w="1654" w:type="dxa"/>
            <w:tcBorders>
              <w:top w:val="single" w:sz="12" w:space="0" w:color="F0A22E" w:themeColor="accent1"/>
              <w:left w:val="single" w:sz="12" w:space="0" w:color="F0A22E" w:themeColor="accent1"/>
              <w:bottom w:val="single" w:sz="12" w:space="0" w:color="F0A22E" w:themeColor="accent1"/>
              <w:right w:val="single" w:sz="12" w:space="0" w:color="F0A22E" w:themeColor="accent1"/>
            </w:tcBorders>
          </w:tcPr>
          <w:p w:rsidR="00D21CCA" w:rsidRPr="001B0736" w:rsidRDefault="00D7621E">
            <w:pPr>
              <w:rPr>
                <w:rFonts w:ascii="文鼎中特廣告體" w:eastAsia="文鼎中特廣告體" w:hint="eastAsia"/>
                <w:color w:val="00B0F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00B0F0"/>
                <w:szCs w:val="24"/>
              </w:rPr>
              <w:t>吃掉蜘蛛</w:t>
            </w:r>
          </w:p>
          <w:p w:rsidR="00D7621E" w:rsidRPr="001B0736" w:rsidRDefault="00D7621E">
            <w:pPr>
              <w:rPr>
                <w:rFonts w:ascii="文鼎中特廣告體" w:eastAsia="文鼎中特廣告體" w:hint="eastAsia"/>
                <w:color w:val="00B0F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00B0F0"/>
                <w:szCs w:val="24"/>
              </w:rPr>
              <w:t>加</w:t>
            </w:r>
            <w:r w:rsidR="004F5786" w:rsidRPr="001B0736">
              <w:rPr>
                <w:rFonts w:ascii="文鼎中特廣告體" w:eastAsia="文鼎中特廣告體" w:hint="eastAsia"/>
                <w:color w:val="00B0F0"/>
                <w:szCs w:val="24"/>
              </w:rPr>
              <w:t>123</w:t>
            </w:r>
          </w:p>
          <w:p w:rsidR="00D7621E" w:rsidRPr="001B0736" w:rsidRDefault="00D7621E">
            <w:pPr>
              <w:rPr>
                <w:rFonts w:ascii="文鼎中特廣告體" w:eastAsia="文鼎中特廣告體" w:hint="eastAsia"/>
                <w:color w:val="00B0F0"/>
                <w:szCs w:val="24"/>
              </w:rPr>
            </w:pPr>
            <w:r w:rsidRPr="001B0736">
              <w:rPr>
                <w:rFonts w:ascii="文鼎中特廣告體" w:eastAsia="文鼎中特廣告體" w:hint="eastAsia"/>
                <w:color w:val="00B0F0"/>
                <w:szCs w:val="24"/>
              </w:rPr>
              <w:t>元</w:t>
            </w:r>
          </w:p>
        </w:tc>
      </w:tr>
    </w:tbl>
    <w:p w:rsidR="002B004E" w:rsidRPr="001B0736" w:rsidRDefault="002B004E">
      <w:pPr>
        <w:rPr>
          <w:rFonts w:ascii="文鼎中特廣告體" w:eastAsia="文鼎中特廣告體" w:hint="eastAsia"/>
          <w:color w:val="FFC000"/>
          <w:szCs w:val="24"/>
        </w:rPr>
      </w:pPr>
    </w:p>
    <w:p w:rsidR="001B0736" w:rsidRPr="001B0736" w:rsidRDefault="001B0736">
      <w:pPr>
        <w:rPr>
          <w:rFonts w:ascii="文鼎中特廣告體" w:eastAsia="文鼎中特廣告體"/>
          <w:color w:val="FFC000"/>
          <w:szCs w:val="24"/>
        </w:rPr>
      </w:pPr>
    </w:p>
    <w:sectPr w:rsidR="001B0736" w:rsidRPr="001B07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F86" w:rsidRDefault="00B12F86" w:rsidP="00B12F86">
      <w:r>
        <w:separator/>
      </w:r>
    </w:p>
  </w:endnote>
  <w:endnote w:type="continuationSeparator" w:id="0">
    <w:p w:rsidR="00B12F86" w:rsidRDefault="00B12F86" w:rsidP="00B1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F86" w:rsidRDefault="00B12F86" w:rsidP="00B12F86">
      <w:r>
        <w:separator/>
      </w:r>
    </w:p>
  </w:footnote>
  <w:footnote w:type="continuationSeparator" w:id="0">
    <w:p w:rsidR="00B12F86" w:rsidRDefault="00B12F86" w:rsidP="00B12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CA"/>
    <w:rsid w:val="00104F5B"/>
    <w:rsid w:val="001B0736"/>
    <w:rsid w:val="002B004E"/>
    <w:rsid w:val="00306D07"/>
    <w:rsid w:val="003E252F"/>
    <w:rsid w:val="004F5786"/>
    <w:rsid w:val="009D7C04"/>
    <w:rsid w:val="00B12F86"/>
    <w:rsid w:val="00C27CD5"/>
    <w:rsid w:val="00CB348F"/>
    <w:rsid w:val="00D21CCA"/>
    <w:rsid w:val="00D7621E"/>
    <w:rsid w:val="00EF43B4"/>
    <w:rsid w:val="00FA60FF"/>
    <w:rsid w:val="00FB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1439D1"/>
  <w15:chartTrackingRefBased/>
  <w15:docId w15:val="{8E2191E4-FFEA-4EB2-8962-50247DF1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2F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2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2F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黃橙色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031A6-96D4-4F8F-B47A-ADF5C793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2020-05-13T02:18:00Z</dcterms:created>
  <dcterms:modified xsi:type="dcterms:W3CDTF">2020-05-27T02:15:00Z</dcterms:modified>
</cp:coreProperties>
</file>